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3DAB" w:rsidRPr="00F144D7" w:rsidRDefault="00203DAB" w:rsidP="00203DAB">
      <w:pPr>
        <w:pStyle w:val="a3"/>
        <w:keepLines/>
        <w:tabs>
          <w:tab w:val="right" w:pos="10440"/>
          <w:tab w:val="right" w:pos="13323"/>
        </w:tabs>
        <w:spacing w:before="60" w:after="60"/>
        <w:rPr>
          <w:rFonts w:cs="Arial"/>
          <w:noProof w:val="0"/>
          <w:sz w:val="22"/>
        </w:rPr>
      </w:pPr>
      <w:bookmarkStart w:id="0" w:name="_Hlk134977185"/>
      <w:bookmarkStart w:id="1" w:name="_Ref399006623"/>
      <w:bookmarkStart w:id="2" w:name="_Toc92513360"/>
      <w:bookmarkEnd w:id="0"/>
      <w:r w:rsidRPr="00F144D7">
        <w:rPr>
          <w:rFonts w:cs="Arial"/>
          <w:noProof w:val="0"/>
          <w:sz w:val="22"/>
        </w:rPr>
        <w:t>3</w:t>
      </w:r>
      <w:r>
        <w:rPr>
          <w:rFonts w:cs="Arial"/>
          <w:noProof w:val="0"/>
          <w:sz w:val="22"/>
        </w:rPr>
        <w:t>GPP TSG-RAN WG4 Meeting # 114</w:t>
      </w:r>
      <w:r w:rsidRPr="00F144D7">
        <w:rPr>
          <w:rFonts w:cs="Arial"/>
          <w:noProof w:val="0"/>
          <w:sz w:val="22"/>
        </w:rPr>
        <w:tab/>
      </w:r>
      <w:r>
        <w:rPr>
          <w:rFonts w:cs="Arial"/>
          <w:noProof w:val="0"/>
          <w:sz w:val="22"/>
        </w:rPr>
        <w:t>R4-</w:t>
      </w:r>
      <w:r w:rsidRPr="003E488D">
        <w:t xml:space="preserve"> </w:t>
      </w:r>
      <w:r w:rsidR="00B86815">
        <w:rPr>
          <w:rFonts w:cs="Arial"/>
          <w:noProof w:val="0"/>
          <w:sz w:val="22"/>
        </w:rPr>
        <w:t>2500797</w:t>
      </w:r>
    </w:p>
    <w:p w:rsidR="00203DAB" w:rsidRDefault="00203DAB" w:rsidP="00203DAB">
      <w:pPr>
        <w:tabs>
          <w:tab w:val="left" w:pos="1985"/>
        </w:tabs>
        <w:jc w:val="both"/>
        <w:rPr>
          <w:rFonts w:ascii="Arial" w:eastAsiaTheme="minorEastAsia" w:hAnsi="Arial" w:cs="Arial"/>
          <w:b/>
          <w:noProof/>
          <w:kern w:val="2"/>
          <w:sz w:val="24"/>
          <w:szCs w:val="22"/>
        </w:rPr>
      </w:pPr>
      <w:r w:rsidRPr="002A7046">
        <w:rPr>
          <w:rFonts w:ascii="Arial" w:eastAsiaTheme="minorEastAsia" w:hAnsi="Arial" w:cs="Arial"/>
          <w:b/>
          <w:noProof/>
          <w:kern w:val="2"/>
          <w:sz w:val="24"/>
          <w:szCs w:val="22"/>
        </w:rPr>
        <w:t>Athens, Greece, 17th – 21st February 2025</w:t>
      </w:r>
    </w:p>
    <w:p w:rsidR="00AB0650" w:rsidRPr="00203DAB" w:rsidRDefault="00AB0650" w:rsidP="00AB0650">
      <w:pPr>
        <w:tabs>
          <w:tab w:val="left" w:pos="1985"/>
        </w:tabs>
        <w:jc w:val="both"/>
        <w:rPr>
          <w:rFonts w:ascii="Arial" w:hAnsi="Arial" w:cs="Arial"/>
          <w:b/>
          <w:sz w:val="22"/>
        </w:rPr>
      </w:pPr>
    </w:p>
    <w:p w:rsidR="00AB0650" w:rsidRPr="00C96D46" w:rsidRDefault="00AB0650" w:rsidP="00AB0650">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Pr>
          <w:rFonts w:ascii="Arial" w:hAnsi="Arial" w:cs="Arial"/>
          <w:sz w:val="22"/>
        </w:rPr>
        <w:t>China Telecom</w:t>
      </w:r>
    </w:p>
    <w:p w:rsidR="00AB0650" w:rsidRPr="00F2669F" w:rsidRDefault="00AB0650" w:rsidP="00AB0650">
      <w:pPr>
        <w:ind w:left="1985" w:hanging="1985"/>
        <w:rPr>
          <w:rFonts w:ascii="Arial" w:hAnsi="Arial" w:cs="Arial"/>
          <w:sz w:val="22"/>
          <w:lang w:val="en-US"/>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90692E" w:rsidRPr="0090692E">
        <w:rPr>
          <w:rFonts w:ascii="Arial" w:hAnsi="Arial" w:cs="Arial"/>
          <w:sz w:val="22"/>
        </w:rPr>
        <w:t>On SAR Solution of R19 HPUE for CA</w:t>
      </w:r>
      <w:bookmarkStart w:id="3" w:name="_GoBack"/>
      <w:bookmarkEnd w:id="3"/>
    </w:p>
    <w:p w:rsidR="00AB0650" w:rsidRPr="00C96D46" w:rsidRDefault="00AB0650" w:rsidP="00AB0650">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85485E">
        <w:rPr>
          <w:rFonts w:ascii="Arial" w:hAnsi="Arial" w:cs="Arial"/>
          <w:sz w:val="22"/>
          <w:lang w:val="en-US"/>
        </w:rPr>
        <w:t>7.1.1.1.1</w:t>
      </w:r>
    </w:p>
    <w:p w:rsidR="00AB0650" w:rsidRPr="00C96D46" w:rsidRDefault="00AB0650" w:rsidP="00AB065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BF2255" w:rsidRPr="00BF2255">
        <w:rPr>
          <w:rFonts w:ascii="Arial" w:hAnsi="Arial" w:cs="Arial"/>
          <w:sz w:val="22"/>
        </w:rPr>
        <w:t>Discussion</w:t>
      </w:r>
    </w:p>
    <w:bookmarkEnd w:id="1"/>
    <w:bookmarkEnd w:id="2"/>
    <w:p w:rsidR="003F24D7" w:rsidRDefault="00AB0650" w:rsidP="00733188">
      <w:pPr>
        <w:pStyle w:val="1"/>
        <w:rPr>
          <w:rFonts w:eastAsia="宋体"/>
          <w:lang w:eastAsia="zh-CN"/>
        </w:rPr>
      </w:pPr>
      <w:r w:rsidRPr="00C96D46">
        <w:rPr>
          <w:rFonts w:eastAsia="宋体" w:hint="eastAsia"/>
          <w:lang w:eastAsia="zh-CN"/>
        </w:rPr>
        <w:t>Introduction</w:t>
      </w:r>
    </w:p>
    <w:p w:rsidR="00441CD9" w:rsidRDefault="00B46CB4" w:rsidP="00856BF9">
      <w:pPr>
        <w:overflowPunct/>
        <w:autoSpaceDE/>
        <w:autoSpaceDN/>
        <w:adjustRightInd/>
        <w:spacing w:after="0"/>
        <w:jc w:val="both"/>
        <w:textAlignment w:val="auto"/>
        <w:rPr>
          <w:rFonts w:ascii="PingFang SC" w:hAnsi="PingFang SC"/>
          <w:color w:val="2A2F45"/>
          <w:shd w:val="clear" w:color="auto" w:fill="FFFFFF"/>
        </w:rPr>
      </w:pPr>
      <w:r>
        <w:rPr>
          <w:rFonts w:eastAsia="宋体" w:hint="eastAsia"/>
          <w:lang w:eastAsia="zh-CN"/>
        </w:rPr>
        <w:t>In</w:t>
      </w:r>
      <w:r>
        <w:rPr>
          <w:rFonts w:eastAsia="宋体"/>
          <w:lang w:eastAsia="zh-CN"/>
        </w:rPr>
        <w:t xml:space="preserve"> </w:t>
      </w:r>
      <w:r w:rsidR="007C357B">
        <w:rPr>
          <w:rFonts w:eastAsia="宋体" w:hint="eastAsia"/>
          <w:lang w:eastAsia="zh-CN"/>
        </w:rPr>
        <w:t>me</w:t>
      </w:r>
      <w:r w:rsidR="007C357B">
        <w:rPr>
          <w:rFonts w:eastAsia="宋体"/>
          <w:lang w:eastAsia="zh-CN"/>
        </w:rPr>
        <w:t>eting RAN4#</w:t>
      </w:r>
      <w:r w:rsidR="00FC2615">
        <w:rPr>
          <w:rFonts w:eastAsia="宋体"/>
          <w:lang w:eastAsia="zh-CN"/>
        </w:rPr>
        <w:t>113</w:t>
      </w:r>
      <w:r w:rsidR="00FC2615">
        <w:rPr>
          <w:rFonts w:eastAsia="宋体" w:hint="eastAsia"/>
          <w:lang w:eastAsia="zh-CN"/>
        </w:rPr>
        <w:t>，</w:t>
      </w:r>
      <w:r w:rsidR="00FC2615">
        <w:rPr>
          <w:rFonts w:eastAsia="宋体" w:hint="eastAsia"/>
          <w:lang w:eastAsia="zh-CN"/>
        </w:rPr>
        <w:t>we</w:t>
      </w:r>
      <w:r w:rsidR="00FC2615">
        <w:rPr>
          <w:rFonts w:eastAsia="宋体"/>
          <w:lang w:eastAsia="zh-CN"/>
        </w:rPr>
        <w:t xml:space="preserve"> made following agreements</w:t>
      </w:r>
      <w:r w:rsidR="007D5DA5">
        <w:rPr>
          <w:rFonts w:eastAsia="宋体"/>
          <w:lang w:eastAsia="zh-CN"/>
        </w:rPr>
        <w:t>[1]</w:t>
      </w:r>
      <w:r w:rsidR="00FC2615">
        <w:rPr>
          <w:rFonts w:eastAsia="宋体"/>
          <w:lang w:eastAsia="zh-CN"/>
        </w:rPr>
        <w:t xml:space="preserve"> and </w:t>
      </w:r>
      <w:r w:rsidR="00FC2615">
        <w:rPr>
          <w:rFonts w:ascii="PingFang SC" w:hAnsi="PingFang SC"/>
          <w:color w:val="2A2F45"/>
          <w:shd w:val="clear" w:color="auto" w:fill="FFFFFF"/>
        </w:rPr>
        <w:t>also had a start</w:t>
      </w:r>
      <w:r w:rsidR="007D5DA5">
        <w:rPr>
          <w:rFonts w:ascii="PingFang SC" w:hAnsi="PingFang SC"/>
          <w:color w:val="2A2F45"/>
          <w:shd w:val="clear" w:color="auto" w:fill="FFFFFF"/>
        </w:rPr>
        <w:t>ing</w:t>
      </w:r>
      <w:r w:rsidR="00FC2615">
        <w:rPr>
          <w:rFonts w:ascii="PingFang SC" w:hAnsi="PingFang SC"/>
          <w:color w:val="2A2F45"/>
          <w:shd w:val="clear" w:color="auto" w:fill="FFFFFF"/>
        </w:rPr>
        <w:t xml:space="preserve"> point</w:t>
      </w:r>
      <w:r w:rsidR="007D5DA5">
        <w:rPr>
          <w:rFonts w:ascii="PingFang SC" w:hAnsi="PingFang SC"/>
          <w:color w:val="2A2F45"/>
          <w:shd w:val="clear" w:color="auto" w:fill="FFFFFF"/>
        </w:rPr>
        <w:t xml:space="preserve"> from paper [2]&amp;[3]. We generally support the framework in </w:t>
      </w:r>
      <w:r w:rsidR="006B50C0">
        <w:rPr>
          <w:rFonts w:ascii="PingFang SC" w:hAnsi="PingFang SC"/>
          <w:color w:val="2A2F45"/>
          <w:shd w:val="clear" w:color="auto" w:fill="FFFFFF"/>
        </w:rPr>
        <w:t xml:space="preserve">paper </w:t>
      </w:r>
      <w:r w:rsidR="007D5DA5">
        <w:rPr>
          <w:rFonts w:ascii="PingFang SC" w:hAnsi="PingFang SC"/>
          <w:color w:val="2A2F45"/>
          <w:shd w:val="clear" w:color="auto" w:fill="FFFFFF"/>
        </w:rPr>
        <w:t xml:space="preserve">[2]&amp;[3] for introducing PC1.5 duty cycle SAR solutions but we </w:t>
      </w:r>
      <w:r w:rsidR="00250677">
        <w:rPr>
          <w:rFonts w:ascii="PingFang SC" w:hAnsi="PingFang SC"/>
          <w:color w:val="2A2F45"/>
          <w:shd w:val="clear" w:color="auto" w:fill="FFFFFF"/>
        </w:rPr>
        <w:t xml:space="preserve">find several problems needed to be clarified. </w:t>
      </w:r>
    </w:p>
    <w:tbl>
      <w:tblPr>
        <w:tblStyle w:val="a9"/>
        <w:tblW w:w="0" w:type="auto"/>
        <w:tblLook w:val="04A0" w:firstRow="1" w:lastRow="0" w:firstColumn="1" w:lastColumn="0" w:noHBand="0" w:noVBand="1"/>
      </w:tblPr>
      <w:tblGrid>
        <w:gridCol w:w="8296"/>
      </w:tblGrid>
      <w:tr w:rsidR="007D5DA5" w:rsidTr="007D5DA5">
        <w:tc>
          <w:tcPr>
            <w:tcW w:w="8296" w:type="dxa"/>
          </w:tcPr>
          <w:p w:rsidR="007D5DA5" w:rsidRDefault="007D5DA5" w:rsidP="007D5DA5">
            <w:pPr>
              <w:rPr>
                <w:b/>
                <w:bCs/>
                <w:szCs w:val="24"/>
                <w:lang w:val="en-US" w:eastAsia="zh-CN"/>
              </w:rPr>
            </w:pPr>
            <w:r>
              <w:rPr>
                <w:b/>
                <w:bCs/>
                <w:szCs w:val="24"/>
              </w:rPr>
              <w:t>Agreement:</w:t>
            </w:r>
          </w:p>
          <w:p w:rsidR="007D5DA5" w:rsidRDefault="007D5DA5" w:rsidP="007D5DA5">
            <w:pPr>
              <w:pStyle w:val="a7"/>
              <w:widowControl w:val="0"/>
              <w:numPr>
                <w:ilvl w:val="0"/>
                <w:numId w:val="9"/>
              </w:numPr>
              <w:spacing w:after="0"/>
              <w:contextualSpacing w:val="0"/>
              <w:jc w:val="both"/>
              <w:rPr>
                <w:szCs w:val="22"/>
              </w:rPr>
            </w:pPr>
            <w:r>
              <w:t>Introduction of new duty-cycle IE is not considered</w:t>
            </w:r>
          </w:p>
          <w:p w:rsidR="007D5DA5" w:rsidRDefault="007D5DA5" w:rsidP="007D5DA5">
            <w:pPr>
              <w:pStyle w:val="a7"/>
              <w:widowControl w:val="0"/>
              <w:numPr>
                <w:ilvl w:val="0"/>
                <w:numId w:val="9"/>
              </w:numPr>
              <w:spacing w:after="0"/>
              <w:contextualSpacing w:val="0"/>
              <w:jc w:val="both"/>
            </w:pPr>
            <w:r>
              <w:t>For ENDC (FDD+FDD), only reply on P-MPR, and there is no further spec changes needed</w:t>
            </w:r>
          </w:p>
          <w:p w:rsidR="007D5DA5" w:rsidRDefault="007D5DA5" w:rsidP="007D5DA5">
            <w:pPr>
              <w:pStyle w:val="a7"/>
              <w:widowControl w:val="0"/>
              <w:numPr>
                <w:ilvl w:val="0"/>
                <w:numId w:val="9"/>
              </w:numPr>
              <w:spacing w:after="0"/>
              <w:contextualSpacing w:val="0"/>
              <w:jc w:val="both"/>
              <w:rPr>
                <w:szCs w:val="24"/>
              </w:rPr>
            </w:pPr>
            <w:r>
              <w:t>Following as starting point</w:t>
            </w:r>
          </w:p>
          <w:p w:rsidR="007D5DA5" w:rsidRDefault="007D5DA5" w:rsidP="007D5DA5">
            <w:pPr>
              <w:pStyle w:val="a7"/>
              <w:widowControl w:val="0"/>
              <w:numPr>
                <w:ilvl w:val="1"/>
                <w:numId w:val="9"/>
              </w:numPr>
              <w:spacing w:after="120"/>
              <w:contextualSpacing w:val="0"/>
              <w:jc w:val="both"/>
              <w:rPr>
                <w:szCs w:val="24"/>
              </w:rPr>
            </w:pPr>
            <w:r>
              <w:rPr>
                <w:szCs w:val="24"/>
              </w:rPr>
              <w:t xml:space="preserve">For </w:t>
            </w:r>
            <w:r>
              <w:t xml:space="preserve">PC1.5 of intra-band contiguous and non-contiguous CA: </w:t>
            </w:r>
            <w:r>
              <w:rPr>
                <w:lang w:eastAsia="zh-CN"/>
              </w:rPr>
              <w:t>……</w:t>
            </w:r>
          </w:p>
          <w:p w:rsidR="007D5DA5" w:rsidRDefault="007D5DA5" w:rsidP="007D5DA5">
            <w:pPr>
              <w:pStyle w:val="a7"/>
              <w:widowControl w:val="0"/>
              <w:numPr>
                <w:ilvl w:val="1"/>
                <w:numId w:val="9"/>
              </w:numPr>
              <w:spacing w:after="120"/>
              <w:contextualSpacing w:val="0"/>
              <w:jc w:val="both"/>
              <w:rPr>
                <w:szCs w:val="24"/>
                <w:lang w:val="en-US" w:eastAsia="zh-CN"/>
              </w:rPr>
            </w:pPr>
            <w:r>
              <w:rPr>
                <w:szCs w:val="24"/>
              </w:rPr>
              <w:t xml:space="preserve">For </w:t>
            </w:r>
            <w:r>
              <w:t>PC1.5 of inter-band CA: ……</w:t>
            </w:r>
          </w:p>
          <w:p w:rsidR="007D5DA5" w:rsidRDefault="007D5DA5" w:rsidP="007D5DA5">
            <w:pPr>
              <w:pStyle w:val="a7"/>
              <w:widowControl w:val="0"/>
              <w:numPr>
                <w:ilvl w:val="1"/>
                <w:numId w:val="9"/>
              </w:numPr>
              <w:spacing w:after="120"/>
              <w:contextualSpacing w:val="0"/>
              <w:jc w:val="both"/>
              <w:rPr>
                <w:szCs w:val="24"/>
                <w:lang w:val="en-US" w:eastAsia="zh-CN"/>
              </w:rPr>
            </w:pPr>
            <w:r>
              <w:rPr>
                <w:szCs w:val="24"/>
              </w:rPr>
              <w:t>For EN-DC (FDD+TDD): ……</w:t>
            </w:r>
          </w:p>
          <w:p w:rsidR="007D5DA5" w:rsidRPr="007D5DA5" w:rsidRDefault="007D5DA5" w:rsidP="007D5DA5">
            <w:pPr>
              <w:pStyle w:val="a7"/>
              <w:widowControl w:val="0"/>
              <w:numPr>
                <w:ilvl w:val="1"/>
                <w:numId w:val="9"/>
              </w:numPr>
              <w:spacing w:after="120"/>
              <w:contextualSpacing w:val="0"/>
              <w:jc w:val="both"/>
              <w:rPr>
                <w:szCs w:val="24"/>
                <w:lang w:val="en-US" w:eastAsia="zh-CN"/>
              </w:rPr>
            </w:pPr>
            <w:r>
              <w:rPr>
                <w:szCs w:val="24"/>
              </w:rPr>
              <w:t>For EN-DC (TDD+TDD): ……</w:t>
            </w:r>
          </w:p>
        </w:tc>
      </w:tr>
    </w:tbl>
    <w:p w:rsidR="00441CD9" w:rsidRPr="003F24D7" w:rsidRDefault="008C2767" w:rsidP="00856BF9">
      <w:pPr>
        <w:overflowPunct/>
        <w:autoSpaceDE/>
        <w:autoSpaceDN/>
        <w:adjustRightInd/>
        <w:spacing w:after="0"/>
        <w:jc w:val="both"/>
        <w:textAlignment w:val="auto"/>
        <w:rPr>
          <w:rFonts w:eastAsia="宋体"/>
          <w:lang w:eastAsia="zh-CN"/>
        </w:rPr>
      </w:pPr>
      <w:r>
        <w:rPr>
          <w:rFonts w:eastAsia="宋体" w:hint="eastAsia"/>
          <w:lang w:eastAsia="zh-CN"/>
        </w:rPr>
        <w:t>S</w:t>
      </w:r>
      <w:r>
        <w:rPr>
          <w:rFonts w:eastAsia="宋体"/>
          <w:lang w:eastAsia="zh-CN"/>
        </w:rPr>
        <w:t xml:space="preserve">o in this </w:t>
      </w:r>
      <w:r w:rsidR="00856BF9">
        <w:rPr>
          <w:rFonts w:eastAsia="宋体"/>
          <w:lang w:eastAsia="zh-CN"/>
        </w:rPr>
        <w:t>paper</w:t>
      </w:r>
      <w:r>
        <w:rPr>
          <w:rFonts w:eastAsia="宋体"/>
          <w:lang w:eastAsia="zh-CN"/>
        </w:rPr>
        <w:t xml:space="preserve"> we </w:t>
      </w:r>
      <w:r w:rsidR="007D5DA5">
        <w:rPr>
          <w:rFonts w:eastAsia="宋体"/>
          <w:lang w:eastAsia="zh-CN"/>
        </w:rPr>
        <w:t>provide our view and f</w:t>
      </w:r>
      <w:r w:rsidR="007D5DA5" w:rsidRPr="007D5DA5">
        <w:rPr>
          <w:rFonts w:eastAsia="宋体"/>
          <w:lang w:eastAsia="zh-CN"/>
        </w:rPr>
        <w:t>easible scheme</w:t>
      </w:r>
      <w:r w:rsidR="007D5DA5">
        <w:rPr>
          <w:rFonts w:eastAsia="宋体"/>
          <w:lang w:eastAsia="zh-CN"/>
        </w:rPr>
        <w:t xml:space="preserve">. </w:t>
      </w:r>
    </w:p>
    <w:p w:rsidR="00AB0650" w:rsidRDefault="00AB0650" w:rsidP="00AB0650">
      <w:pPr>
        <w:pStyle w:val="1"/>
        <w:rPr>
          <w:rFonts w:eastAsia="宋体"/>
          <w:lang w:eastAsia="zh-CN"/>
        </w:rPr>
      </w:pPr>
      <w:r w:rsidRPr="00E14F5F">
        <w:rPr>
          <w:rFonts w:eastAsia="宋体"/>
          <w:lang w:eastAsia="zh-CN"/>
        </w:rPr>
        <w:t>Discussion</w:t>
      </w:r>
    </w:p>
    <w:p w:rsidR="000B1DFD" w:rsidRDefault="00250677" w:rsidP="00250677">
      <w:pPr>
        <w:pStyle w:val="a7"/>
        <w:numPr>
          <w:ilvl w:val="0"/>
          <w:numId w:val="10"/>
        </w:numPr>
        <w:spacing w:beforeLines="50" w:before="156" w:afterLines="50" w:after="156"/>
        <w:jc w:val="both"/>
        <w:rPr>
          <w:b/>
          <w:u w:val="single"/>
        </w:rPr>
      </w:pPr>
      <w:r w:rsidRPr="00250677">
        <w:rPr>
          <w:b/>
          <w:u w:val="single"/>
        </w:rPr>
        <w:t>PC1.5 of intra-band contiguous and non-contiguous CA</w:t>
      </w:r>
    </w:p>
    <w:p w:rsidR="00250677" w:rsidRDefault="00250677" w:rsidP="00250677">
      <w:pPr>
        <w:spacing w:beforeLines="50" w:before="156" w:afterLines="50" w:after="156"/>
        <w:jc w:val="both"/>
      </w:pPr>
      <w:r>
        <w:t xml:space="preserve">For the new added part </w:t>
      </w:r>
      <w:r w:rsidR="006B50C0">
        <w:t xml:space="preserve">about </w:t>
      </w:r>
      <w:r w:rsidR="006B50C0" w:rsidRPr="006B50C0">
        <w:t>PC1.5 of intra-band contiguous and non-contiguous CA</w:t>
      </w:r>
      <w:r w:rsidR="006B50C0">
        <w:t xml:space="preserve"> in paper [2], if both the UE capabilities on PC1.5 and PC2 should be adopted</w:t>
      </w:r>
      <w:r w:rsidR="0050135D">
        <w:t xml:space="preserve"> on determining max duty cycle threshold</w:t>
      </w:r>
      <w:r w:rsidR="006B50C0">
        <w:t xml:space="preserve">, we believe it lacks the condition about capability </w:t>
      </w:r>
      <w:r w:rsidR="006B50C0" w:rsidRPr="006B50C0">
        <w:rPr>
          <w:i/>
        </w:rPr>
        <w:t>maxUplinkDutyCycle-PC1dot5-MPE-FR1</w:t>
      </w:r>
      <w:r w:rsidR="006B50C0">
        <w:t xml:space="preserve"> at the first “else if ” j</w:t>
      </w:r>
      <w:r w:rsidR="006B50C0" w:rsidRPr="006B50C0">
        <w:t>udgment statement</w:t>
      </w:r>
      <w:r w:rsidR="006B50C0">
        <w:t>. And the description should like below:</w:t>
      </w:r>
    </w:p>
    <w:tbl>
      <w:tblPr>
        <w:tblStyle w:val="a9"/>
        <w:tblW w:w="0" w:type="auto"/>
        <w:tblLook w:val="04A0" w:firstRow="1" w:lastRow="0" w:firstColumn="1" w:lastColumn="0" w:noHBand="0" w:noVBand="1"/>
      </w:tblPr>
      <w:tblGrid>
        <w:gridCol w:w="8296"/>
      </w:tblGrid>
      <w:tr w:rsidR="006B50C0" w:rsidTr="006B50C0">
        <w:tc>
          <w:tcPr>
            <w:tcW w:w="8296" w:type="dxa"/>
          </w:tcPr>
          <w:p w:rsidR="006B50C0" w:rsidRPr="00A1115A" w:rsidRDefault="006B50C0" w:rsidP="000C48DB">
            <w:pPr>
              <w:spacing w:after="0"/>
              <w:jc w:val="both"/>
            </w:pPr>
            <w:r w:rsidRPr="00A1115A">
              <w:t xml:space="preserve">If a UE supports a different power class than the default UE power class for </w:t>
            </w:r>
            <w:r>
              <w:t>the band</w:t>
            </w:r>
            <w:r w:rsidRPr="00F96C6E">
              <w:rPr>
                <w:rFonts w:hint="eastAsia"/>
              </w:rPr>
              <w:t xml:space="preserve"> combination</w:t>
            </w:r>
            <w:r>
              <w:rPr>
                <w:rFonts w:hint="eastAsia"/>
              </w:rPr>
              <w:t xml:space="preserve"> listed in </w:t>
            </w:r>
            <w:r w:rsidRPr="00A1115A">
              <w:t>Table 6.2A.1.</w:t>
            </w:r>
            <w:r>
              <w:t>1</w:t>
            </w:r>
            <w:r w:rsidRPr="00A1115A">
              <w:t>-</w:t>
            </w:r>
            <w:r>
              <w:t>1/2</w:t>
            </w:r>
            <w:r w:rsidRPr="00A1115A">
              <w:t xml:space="preserve"> and the supported power class enables the higher maximum output power than that of the default power class:</w:t>
            </w:r>
          </w:p>
          <w:p w:rsidR="006B50C0" w:rsidRPr="00A1115A" w:rsidRDefault="006B50C0" w:rsidP="000C48DB">
            <w:pPr>
              <w:pStyle w:val="B1"/>
              <w:spacing w:after="0"/>
              <w:jc w:val="both"/>
            </w:pPr>
            <w:r w:rsidRPr="00A1115A">
              <w:t>-</w:t>
            </w:r>
            <w:r w:rsidRPr="00A1115A">
              <w:tab/>
              <w:t xml:space="preserve">if the field of UE capability </w:t>
            </w:r>
            <w:r w:rsidRPr="00A1115A">
              <w:rPr>
                <w:i/>
              </w:rPr>
              <w:t>maxUplinkDutyCycle-PC2-FR1</w:t>
            </w:r>
            <w:r w:rsidRPr="00A1115A">
              <w:t xml:space="preserve"> is absent</w:t>
            </w:r>
            <w:r>
              <w:t xml:space="preserve"> </w:t>
            </w:r>
            <w:r w:rsidRPr="00185648">
              <w:rPr>
                <w:color w:val="C00000"/>
              </w:rPr>
              <w:t xml:space="preserve">and the field of UE capability </w:t>
            </w:r>
            <w:r w:rsidRPr="00185648">
              <w:rPr>
                <w:i/>
                <w:color w:val="C00000"/>
              </w:rPr>
              <w:t>maxUplinkDutyCycle-PC1dot5-MPE-FR1</w:t>
            </w:r>
            <w:r w:rsidRPr="00185648">
              <w:rPr>
                <w:color w:val="C00000"/>
              </w:rPr>
              <w:t xml:space="preserve"> is absent</w:t>
            </w:r>
            <w:r w:rsidRPr="00185648">
              <w:t xml:space="preserve"> </w:t>
            </w:r>
            <w:r w:rsidRPr="00A1115A">
              <w:t xml:space="preserve">and </w:t>
            </w:r>
            <w:r w:rsidRPr="00DE02D6">
              <w:rPr>
                <w:lang w:eastAsia="zh-CN"/>
              </w:rPr>
              <w:t xml:space="preserve">the percentage of total </w:t>
            </w:r>
            <w:r w:rsidRPr="00DE02D6">
              <w:rPr>
                <w:lang w:eastAsia="zh-CN"/>
              </w:rPr>
              <w:lastRenderedPageBreak/>
              <w:t>uplink symbols transmitted on all UL CCs in a certain evaluation period</w:t>
            </w:r>
            <w:r w:rsidRPr="00A1115A">
              <w:t xml:space="preserve"> is larger than 50% (The exact evaluation period is no less than one radio frame); or</w:t>
            </w:r>
          </w:p>
          <w:p w:rsidR="006B50C0" w:rsidRDefault="006B50C0" w:rsidP="000C48DB">
            <w:pPr>
              <w:pStyle w:val="B1"/>
              <w:spacing w:after="0"/>
              <w:jc w:val="both"/>
            </w:pPr>
            <w:r w:rsidRPr="00A1115A">
              <w:t>-</w:t>
            </w:r>
            <w:r w:rsidRPr="00A1115A">
              <w:tab/>
              <w:t xml:space="preserve">if the field of UE capability </w:t>
            </w:r>
            <w:r w:rsidRPr="00A1115A">
              <w:rPr>
                <w:i/>
              </w:rPr>
              <w:t>maxUplinkDutyCycle-PC2-FR1</w:t>
            </w:r>
            <w:r w:rsidRPr="00A1115A">
              <w:t xml:space="preserve"> is not absent and </w:t>
            </w:r>
            <w:r w:rsidRPr="00DE02D6">
              <w:rPr>
                <w:lang w:eastAsia="zh-CN"/>
              </w:rPr>
              <w:t>the percentage of total uplink symbols transmitted on all UL CCs in a certain evaluation period</w:t>
            </w:r>
            <w:r w:rsidRPr="00A1115A">
              <w:t xml:space="preserve">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rsidR="006B50C0" w:rsidRDefault="006B50C0" w:rsidP="000C48DB">
            <w:pPr>
              <w:pStyle w:val="B1"/>
              <w:spacing w:after="0"/>
              <w:jc w:val="both"/>
            </w:pPr>
            <w:r w:rsidRPr="00185648">
              <w:rPr>
                <w:color w:val="C00000"/>
              </w:rPr>
              <w:t>-</w:t>
            </w:r>
            <w:r w:rsidRPr="00185648">
              <w:rPr>
                <w:color w:val="C00000"/>
              </w:rPr>
              <w:tab/>
              <w:t xml:space="preserve">if the field of UE capability </w:t>
            </w:r>
            <w:r w:rsidRPr="00185648">
              <w:rPr>
                <w:i/>
                <w:color w:val="C00000"/>
              </w:rPr>
              <w:t>maxUplinkDutyCycle-PC1dot5-MPE-FR1</w:t>
            </w:r>
            <w:r w:rsidRPr="00185648">
              <w:rPr>
                <w:color w:val="C00000"/>
              </w:rPr>
              <w:t xml:space="preserve"> is not absent and </w:t>
            </w:r>
            <w:r>
              <w:rPr>
                <w:color w:val="C00000"/>
              </w:rPr>
              <w:t xml:space="preserve">half </w:t>
            </w:r>
            <w:r w:rsidRPr="00185648">
              <w:rPr>
                <w:color w:val="C00000"/>
                <w:lang w:eastAsia="zh-CN"/>
              </w:rPr>
              <w:t>the percentage of total uplink symbols transmitted on all UL CCs in a certain evaluation period</w:t>
            </w:r>
            <w:r w:rsidRPr="00185648">
              <w:rPr>
                <w:color w:val="C00000"/>
              </w:rPr>
              <w:t xml:space="preserve"> is larger than </w:t>
            </w:r>
            <w:r w:rsidRPr="00185648">
              <w:rPr>
                <w:i/>
                <w:color w:val="C00000"/>
              </w:rPr>
              <w:t>maxUplinkDutyCycle-PC1dot5-MPE-FR1</w:t>
            </w:r>
            <w:r w:rsidRPr="00185648">
              <w:rPr>
                <w:color w:val="C00000"/>
              </w:rPr>
              <w:t xml:space="preserve"> as defined in TS 38.306 (The exact evaluation period is no less than one radio frame); or</w:t>
            </w:r>
          </w:p>
          <w:p w:rsidR="006B50C0" w:rsidRDefault="006B50C0" w:rsidP="000C48DB">
            <w:pPr>
              <w:pStyle w:val="B1"/>
              <w:spacing w:after="0"/>
              <w:jc w:val="both"/>
            </w:pPr>
            <w:r w:rsidRPr="00A1115A">
              <w:t>-</w:t>
            </w:r>
            <w:r w:rsidRPr="00A1115A">
              <w:tab/>
              <w:t>if</w:t>
            </w:r>
            <w:r w:rsidRPr="00A1115A">
              <w:rPr>
                <w:lang w:eastAsia="zh-CN"/>
              </w:rPr>
              <w:t xml:space="preserve"> </w:t>
            </w:r>
            <w:r>
              <w:rPr>
                <w:rFonts w:cs="Vrinda"/>
                <w:lang w:bidi="bn-IN"/>
              </w:rPr>
              <w:t>1</w:t>
            </w:r>
            <w:r w:rsidRPr="00A1115A">
              <w:rPr>
                <w:rFonts w:cs="Vrinda"/>
                <w:lang w:bidi="bn-IN"/>
              </w:rPr>
              <w:t>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EMAX,c</w:t>
            </w:r>
            <w:r w:rsidRPr="00A1115A">
              <w:rPr>
                <w:lang w:eastAsia="zh-CN"/>
              </w:rPr>
              <w:t xml:space="preserve"> </w:t>
            </w:r>
            <w:r>
              <w:rPr>
                <w:lang w:eastAsia="zh-CN"/>
              </w:rPr>
              <w:t xml:space="preserve">or </w:t>
            </w:r>
            <w:r w:rsidRPr="00A1115A">
              <w:rPr>
                <w:lang w:bidi="bn-IN"/>
              </w:rPr>
              <w:t>P</w:t>
            </w:r>
            <w:r w:rsidRPr="00A1115A">
              <w:rPr>
                <w:vertAlign w:val="subscript"/>
                <w:lang w:bidi="bn-IN"/>
              </w:rPr>
              <w:t>EMAX,CA</w:t>
            </w:r>
            <w:r>
              <w:rPr>
                <w:vertAlign w:val="subscript"/>
                <w:lang w:bidi="bn-IN"/>
              </w:rPr>
              <w:t xml:space="preserve"> </w:t>
            </w:r>
            <w:r>
              <w:rPr>
                <w:lang w:eastAsia="zh-CN"/>
              </w:rPr>
              <w:t xml:space="preserve">which </w:t>
            </w:r>
            <w:r>
              <w:t>defined in clause 6.2A.4.1.1/2 is 23dBm</w:t>
            </w:r>
            <w:r w:rsidRPr="00A1115A">
              <w:rPr>
                <w:lang w:eastAsia="zh-CN"/>
              </w:rPr>
              <w:t xml:space="preserve"> or lower</w:t>
            </w:r>
            <w:r w:rsidRPr="00A1115A">
              <w:t>;</w:t>
            </w:r>
          </w:p>
          <w:p w:rsidR="006B50C0" w:rsidRDefault="006B50C0" w:rsidP="000C48DB">
            <w:pPr>
              <w:pStyle w:val="B2"/>
              <w:spacing w:after="0"/>
              <w:jc w:val="both"/>
            </w:pPr>
            <w:r w:rsidRPr="00A1115A">
              <w:t>-</w:t>
            </w:r>
            <w:r w:rsidRPr="00A1115A">
              <w:tab/>
              <w:t xml:space="preserve">shall apply all requirements for the default power class to the supported power class and set the configured transmitted power as specified in clause </w:t>
            </w:r>
            <w:r>
              <w:t>6.2A.4.1.1/2</w:t>
            </w:r>
            <w:r w:rsidRPr="00A1115A">
              <w:t>;</w:t>
            </w:r>
          </w:p>
          <w:p w:rsidR="006B50C0" w:rsidRPr="00626AEB" w:rsidRDefault="006B50C0" w:rsidP="000C48DB">
            <w:pPr>
              <w:pStyle w:val="B1"/>
              <w:spacing w:after="0"/>
              <w:jc w:val="both"/>
              <w:rPr>
                <w:color w:val="C00000"/>
              </w:rPr>
            </w:pPr>
            <w:r w:rsidRPr="00626AEB">
              <w:rPr>
                <w:color w:val="C00000"/>
              </w:rPr>
              <w:t>-</w:t>
            </w:r>
            <w:r w:rsidRPr="00626AEB">
              <w:rPr>
                <w:color w:val="C00000"/>
              </w:rPr>
              <w:tab/>
              <w:t xml:space="preserve">else if the field of UE capability </w:t>
            </w:r>
            <w:r w:rsidRPr="00626AEB">
              <w:rPr>
                <w:i/>
                <w:color w:val="C00000"/>
              </w:rPr>
              <w:t>maxUplinkDutyCycle-PC2-FR1</w:t>
            </w:r>
            <w:r w:rsidRPr="00626AEB">
              <w:rPr>
                <w:color w:val="C00000"/>
              </w:rPr>
              <w:t xml:space="preserve"> is absent </w:t>
            </w:r>
            <w:r w:rsidR="0050135D" w:rsidRPr="0050135D">
              <w:rPr>
                <w:color w:val="0070C0"/>
              </w:rPr>
              <w:t>a</w:t>
            </w:r>
            <w:r w:rsidR="0050135D" w:rsidRPr="0050135D">
              <w:rPr>
                <w:color w:val="0070C0"/>
                <w:u w:val="single"/>
              </w:rPr>
              <w:t xml:space="preserve">nd the field of UE capability </w:t>
            </w:r>
            <w:r w:rsidR="0050135D" w:rsidRPr="0050135D">
              <w:rPr>
                <w:i/>
                <w:color w:val="0070C0"/>
                <w:u w:val="single"/>
              </w:rPr>
              <w:t>maxUplinkDutyCycle-PC1dot5-MPE-FR1</w:t>
            </w:r>
            <w:r w:rsidR="0050135D" w:rsidRPr="0050135D">
              <w:rPr>
                <w:color w:val="0070C0"/>
                <w:u w:val="single"/>
              </w:rPr>
              <w:t xml:space="preserve"> is absent</w:t>
            </w:r>
            <w:r w:rsidR="0050135D" w:rsidRPr="00626AEB">
              <w:rPr>
                <w:color w:val="C00000"/>
              </w:rPr>
              <w:t xml:space="preserve"> </w:t>
            </w:r>
            <w:r w:rsidRPr="00626AEB">
              <w:rPr>
                <w:color w:val="C00000"/>
              </w:rPr>
              <w:t xml:space="preserve">and </w:t>
            </w:r>
            <w:r w:rsidRPr="00626AEB">
              <w:rPr>
                <w:color w:val="C00000"/>
                <w:lang w:eastAsia="zh-CN"/>
              </w:rPr>
              <w:t>the percentage of total uplink symbols transmitted on all UL CCs in a certain evaluation period</w:t>
            </w:r>
            <w:r w:rsidRPr="00626AEB">
              <w:rPr>
                <w:color w:val="C00000"/>
              </w:rPr>
              <w:t xml:space="preserve"> is larger than 25% (The exact evaluation period is no less than one radio frame); or</w:t>
            </w:r>
          </w:p>
          <w:p w:rsidR="006B50C0" w:rsidRDefault="006B50C0" w:rsidP="000C48DB">
            <w:pPr>
              <w:pStyle w:val="B1"/>
              <w:spacing w:after="0"/>
              <w:jc w:val="both"/>
              <w:rPr>
                <w:color w:val="C00000"/>
              </w:rPr>
            </w:pPr>
            <w:r w:rsidRPr="00626AEB">
              <w:rPr>
                <w:color w:val="C00000"/>
              </w:rPr>
              <w:t>-</w:t>
            </w:r>
            <w:r w:rsidRPr="00626AEB">
              <w:rPr>
                <w:color w:val="C00000"/>
              </w:rPr>
              <w:tab/>
              <w:t xml:space="preserve">if the field of UE capability </w:t>
            </w:r>
            <w:r w:rsidRPr="00626AEB">
              <w:rPr>
                <w:i/>
                <w:color w:val="C00000"/>
              </w:rPr>
              <w:t>maxUplinkDutyCycle-PC2-FR1</w:t>
            </w:r>
            <w:r w:rsidRPr="00626AEB">
              <w:rPr>
                <w:color w:val="C00000"/>
              </w:rPr>
              <w:t xml:space="preserve"> is not absent and </w:t>
            </w:r>
            <w:r w:rsidRPr="00626AEB">
              <w:rPr>
                <w:color w:val="C00000"/>
                <w:lang w:eastAsia="zh-CN"/>
              </w:rPr>
              <w:t>the percentage of total uplink symbols transmitted on all UL CCs in a certain evaluation period</w:t>
            </w:r>
            <w:r w:rsidRPr="00626AEB">
              <w:rPr>
                <w:color w:val="C00000"/>
              </w:rPr>
              <w:t xml:space="preserve"> is larger than 0.5*</w:t>
            </w:r>
            <w:r w:rsidRPr="00626AEB">
              <w:rPr>
                <w:i/>
                <w:color w:val="C00000"/>
              </w:rPr>
              <w:t>maxUplinkDutyCycle-PC2-FR1</w:t>
            </w:r>
            <w:r w:rsidRPr="00626AEB">
              <w:rPr>
                <w:color w:val="C00000"/>
              </w:rPr>
              <w:t xml:space="preserve"> as defined in TS 38.306 (The exact evaluation period is no less than one radio frame); or</w:t>
            </w:r>
          </w:p>
          <w:p w:rsidR="006B50C0" w:rsidRDefault="006B50C0" w:rsidP="000C48DB">
            <w:pPr>
              <w:pStyle w:val="B1"/>
              <w:spacing w:after="0"/>
              <w:jc w:val="both"/>
              <w:rPr>
                <w:color w:val="C00000"/>
              </w:rPr>
            </w:pPr>
            <w:r w:rsidRPr="00626AEB">
              <w:rPr>
                <w:color w:val="C00000"/>
              </w:rPr>
              <w:t>-</w:t>
            </w:r>
            <w:r w:rsidRPr="00626AEB">
              <w:rPr>
                <w:color w:val="C00000"/>
              </w:rPr>
              <w:tab/>
              <w:t xml:space="preserve">if the field of UE capability </w:t>
            </w:r>
            <w:r w:rsidRPr="00185648">
              <w:rPr>
                <w:i/>
                <w:color w:val="C00000"/>
              </w:rPr>
              <w:t>maxUplinkDutyCycle-PC1dot5-MPE-FR1</w:t>
            </w:r>
            <w:r w:rsidRPr="00626AEB">
              <w:rPr>
                <w:color w:val="C00000"/>
              </w:rPr>
              <w:t xml:space="preserve"> is not absent and </w:t>
            </w:r>
            <w:r w:rsidRPr="00626AEB">
              <w:rPr>
                <w:color w:val="C00000"/>
                <w:lang w:eastAsia="zh-CN"/>
              </w:rPr>
              <w:t>the percentage of total uplink symbols transmitted on all UL CCs in a certain evaluation period</w:t>
            </w:r>
            <w:r>
              <w:rPr>
                <w:color w:val="C00000"/>
              </w:rPr>
              <w:t xml:space="preserve"> is larger than </w:t>
            </w:r>
            <w:r w:rsidRPr="00185648">
              <w:rPr>
                <w:i/>
                <w:color w:val="C00000"/>
              </w:rPr>
              <w:t>maxUplinkDutyCycle-PC1dot5-MPE-FR1</w:t>
            </w:r>
            <w:r w:rsidRPr="00626AEB">
              <w:rPr>
                <w:color w:val="C00000"/>
              </w:rPr>
              <w:t xml:space="preserve"> as defined in TS 38.306 (The exact evaluation period is no less t</w:t>
            </w:r>
            <w:r>
              <w:rPr>
                <w:color w:val="C00000"/>
              </w:rPr>
              <w:t>24</w:t>
            </w:r>
            <w:r w:rsidRPr="00626AEB">
              <w:rPr>
                <w:color w:val="C00000"/>
              </w:rPr>
              <w:t>han one radio frame); or</w:t>
            </w:r>
          </w:p>
          <w:p w:rsidR="006B50C0" w:rsidRPr="00626AEB" w:rsidRDefault="006B50C0" w:rsidP="000C48DB">
            <w:pPr>
              <w:pStyle w:val="B1"/>
              <w:spacing w:after="0"/>
              <w:jc w:val="both"/>
              <w:rPr>
                <w:color w:val="C00000"/>
              </w:rPr>
            </w:pPr>
            <w:r w:rsidRPr="00626AEB">
              <w:rPr>
                <w:color w:val="C00000"/>
              </w:rPr>
              <w:t>-</w:t>
            </w:r>
            <w:r w:rsidRPr="00626AEB">
              <w:rPr>
                <w:color w:val="C00000"/>
              </w:rPr>
              <w:tab/>
              <w:t>if</w:t>
            </w:r>
            <w:r w:rsidRPr="00626AEB">
              <w:rPr>
                <w:color w:val="C00000"/>
                <w:lang w:eastAsia="zh-CN"/>
              </w:rPr>
              <w:t xml:space="preserve"> </w:t>
            </w:r>
            <w:r w:rsidRPr="00626AEB">
              <w:rPr>
                <w:rFonts w:cs="Vrinda"/>
                <w:color w:val="C00000"/>
                <w:lang w:bidi="bn-IN"/>
              </w:rPr>
              <w:t>10 log</w:t>
            </w:r>
            <w:r w:rsidRPr="00626AEB">
              <w:rPr>
                <w:rFonts w:cs="Vrinda"/>
                <w:color w:val="C00000"/>
                <w:vertAlign w:val="subscript"/>
                <w:lang w:bidi="bn-IN"/>
              </w:rPr>
              <w:t>10</w:t>
            </w:r>
            <w:r w:rsidRPr="00626AEB">
              <w:rPr>
                <w:rFonts w:cs="Vrinda"/>
                <w:color w:val="C00000"/>
                <w:lang w:bidi="bn-IN"/>
              </w:rPr>
              <w:t xml:space="preserve"> </w:t>
            </w:r>
            <w:r w:rsidRPr="00626AEB">
              <w:rPr>
                <w:color w:val="C00000"/>
              </w:rPr>
              <w:t xml:space="preserve">∑ </w:t>
            </w:r>
            <w:r w:rsidRPr="00626AEB">
              <w:rPr>
                <w:rFonts w:cs="Vrinda"/>
                <w:color w:val="C00000"/>
                <w:lang w:bidi="bn-IN"/>
              </w:rPr>
              <w:t>p</w:t>
            </w:r>
            <w:r w:rsidRPr="00626AEB">
              <w:rPr>
                <w:rFonts w:cs="Vrinda"/>
                <w:color w:val="C00000"/>
                <w:vertAlign w:val="subscript"/>
                <w:lang w:bidi="bn-IN"/>
              </w:rPr>
              <w:t>EMAX,c</w:t>
            </w:r>
            <w:r w:rsidRPr="00626AEB">
              <w:rPr>
                <w:color w:val="C00000"/>
                <w:lang w:eastAsia="zh-CN"/>
              </w:rPr>
              <w:t xml:space="preserve"> or </w:t>
            </w:r>
            <w:r w:rsidRPr="00626AEB">
              <w:rPr>
                <w:color w:val="C00000"/>
                <w:lang w:bidi="bn-IN"/>
              </w:rPr>
              <w:t>P</w:t>
            </w:r>
            <w:r w:rsidRPr="00626AEB">
              <w:rPr>
                <w:color w:val="C00000"/>
                <w:vertAlign w:val="subscript"/>
                <w:lang w:bidi="bn-IN"/>
              </w:rPr>
              <w:t xml:space="preserve">EMAX,CA </w:t>
            </w:r>
            <w:r w:rsidRPr="00626AEB">
              <w:rPr>
                <w:color w:val="C00000"/>
                <w:lang w:eastAsia="zh-CN"/>
              </w:rPr>
              <w:t xml:space="preserve">which </w:t>
            </w:r>
            <w:r w:rsidRPr="00626AEB">
              <w:rPr>
                <w:color w:val="C00000"/>
              </w:rPr>
              <w:t>defined in clause 6.2A.4.1.1</w:t>
            </w:r>
            <w:r>
              <w:rPr>
                <w:color w:val="C00000"/>
              </w:rPr>
              <w:t>/2</w:t>
            </w:r>
            <w:r w:rsidRPr="00626AEB">
              <w:rPr>
                <w:color w:val="C00000"/>
              </w:rPr>
              <w:t xml:space="preserve"> is 26dBm</w:t>
            </w:r>
            <w:r w:rsidRPr="00626AEB">
              <w:rPr>
                <w:color w:val="C00000"/>
                <w:lang w:eastAsia="zh-CN"/>
              </w:rPr>
              <w:t xml:space="preserve"> or lower</w:t>
            </w:r>
            <w:r w:rsidRPr="00626AEB">
              <w:rPr>
                <w:color w:val="C00000"/>
              </w:rPr>
              <w:t>;</w:t>
            </w:r>
          </w:p>
          <w:p w:rsidR="006B50C0" w:rsidRPr="00626AEB" w:rsidRDefault="006B50C0" w:rsidP="000C48DB">
            <w:pPr>
              <w:pStyle w:val="B2"/>
              <w:spacing w:after="0"/>
              <w:jc w:val="both"/>
              <w:rPr>
                <w:color w:val="C00000"/>
              </w:rPr>
            </w:pPr>
            <w:r w:rsidRPr="00626AEB">
              <w:rPr>
                <w:color w:val="C00000"/>
              </w:rPr>
              <w:t>-</w:t>
            </w:r>
            <w:r w:rsidRPr="00626AEB">
              <w:rPr>
                <w:color w:val="C00000"/>
              </w:rPr>
              <w:tab/>
              <w:t>shall apply all requirements for the power class 2 to the supported power class and set the configured transmitted power as specified in clause 6.2A.4.1.1</w:t>
            </w:r>
            <w:r>
              <w:rPr>
                <w:color w:val="C00000"/>
              </w:rPr>
              <w:t>/2</w:t>
            </w:r>
            <w:r w:rsidRPr="00626AEB">
              <w:rPr>
                <w:color w:val="C00000"/>
              </w:rPr>
              <w:t>;</w:t>
            </w:r>
          </w:p>
          <w:p w:rsidR="006B50C0" w:rsidRDefault="006B50C0" w:rsidP="000C48DB">
            <w:pPr>
              <w:spacing w:after="0"/>
              <w:jc w:val="both"/>
            </w:pPr>
            <w:r w:rsidRPr="00A1115A">
              <w:t>-</w:t>
            </w:r>
            <w:r w:rsidRPr="00A1115A">
              <w:tab/>
              <w:t xml:space="preserve">else shall apply all requirements for the supported power class and set the configured transmitted power as specified in clause </w:t>
            </w:r>
            <w:r>
              <w:t>6.2A.4.1.1/2</w:t>
            </w:r>
            <w:r w:rsidRPr="00A1115A">
              <w:t>.</w:t>
            </w:r>
          </w:p>
        </w:tc>
      </w:tr>
    </w:tbl>
    <w:p w:rsidR="006B50C0" w:rsidRPr="0050135D" w:rsidRDefault="0050135D" w:rsidP="0050135D">
      <w:pPr>
        <w:spacing w:beforeLines="50" w:before="156" w:afterLines="50" w:after="156"/>
        <w:jc w:val="both"/>
        <w:rPr>
          <w:b/>
          <w:i/>
        </w:rPr>
      </w:pPr>
      <w:r w:rsidRPr="0050135D">
        <w:rPr>
          <w:rFonts w:eastAsiaTheme="minorEastAsia" w:hint="eastAsia"/>
          <w:b/>
          <w:i/>
          <w:lang w:eastAsia="zh-CN"/>
        </w:rPr>
        <w:lastRenderedPageBreak/>
        <w:t>P</w:t>
      </w:r>
      <w:r w:rsidRPr="0050135D">
        <w:rPr>
          <w:rFonts w:eastAsiaTheme="minorEastAsia"/>
          <w:b/>
          <w:i/>
          <w:lang w:eastAsia="zh-CN"/>
        </w:rPr>
        <w:t xml:space="preserve">roposal1: </w:t>
      </w:r>
      <w:r w:rsidRPr="0050135D">
        <w:rPr>
          <w:b/>
          <w:i/>
        </w:rPr>
        <w:t xml:space="preserve">If both the UE capabilities on PC1.5 and PC2 should be adopted on determining max duty cycle threshold, the </w:t>
      </w:r>
      <w:r w:rsidR="00C730C7">
        <w:rPr>
          <w:b/>
          <w:i/>
        </w:rPr>
        <w:t xml:space="preserve">condition to determine if fall back to PC2 should contain the </w:t>
      </w:r>
      <w:r w:rsidR="00C730C7" w:rsidRPr="00C730C7">
        <w:rPr>
          <w:b/>
          <w:i/>
        </w:rPr>
        <w:t>maxUplinkDutyCycle-PC1dot5-MPE-FR1</w:t>
      </w:r>
      <w:r w:rsidR="00C730C7">
        <w:rPr>
          <w:b/>
          <w:i/>
        </w:rPr>
        <w:t xml:space="preserve"> capability. </w:t>
      </w:r>
    </w:p>
    <w:p w:rsidR="0050135D" w:rsidRDefault="0050135D" w:rsidP="0050135D">
      <w:pPr>
        <w:pStyle w:val="a7"/>
        <w:numPr>
          <w:ilvl w:val="0"/>
          <w:numId w:val="10"/>
        </w:numPr>
        <w:spacing w:beforeLines="50" w:before="156" w:afterLines="50" w:after="156"/>
        <w:jc w:val="both"/>
        <w:rPr>
          <w:b/>
          <w:u w:val="single"/>
        </w:rPr>
      </w:pPr>
      <w:r w:rsidRPr="00250677">
        <w:rPr>
          <w:b/>
          <w:u w:val="single"/>
        </w:rPr>
        <w:t xml:space="preserve">PC1.5 of </w:t>
      </w:r>
      <w:r>
        <w:rPr>
          <w:b/>
          <w:u w:val="single"/>
        </w:rPr>
        <w:t>TDD+TDD EN-DC</w:t>
      </w:r>
    </w:p>
    <w:p w:rsidR="0050135D" w:rsidRDefault="000C48DB" w:rsidP="0050135D">
      <w:pPr>
        <w:spacing w:beforeLines="50" w:before="156" w:afterLines="50" w:after="156"/>
        <w:jc w:val="both"/>
        <w:rPr>
          <w:rFonts w:eastAsiaTheme="minorEastAsia"/>
          <w:lang w:eastAsia="zh-CN"/>
        </w:rPr>
      </w:pPr>
      <w:r>
        <w:rPr>
          <w:rFonts w:eastAsiaTheme="minorEastAsia"/>
          <w:lang w:eastAsia="zh-CN"/>
        </w:rPr>
        <w:t>The PC1.5 duty cycle solutions on TDD+</w:t>
      </w:r>
      <w:r>
        <w:rPr>
          <w:rFonts w:eastAsiaTheme="minorEastAsia" w:hint="eastAsia"/>
          <w:lang w:eastAsia="zh-CN"/>
        </w:rPr>
        <w:t>TDD</w:t>
      </w:r>
      <w:r>
        <w:rPr>
          <w:rFonts w:eastAsiaTheme="minorEastAsia"/>
          <w:lang w:eastAsia="zh-CN"/>
        </w:rPr>
        <w:t xml:space="preserve"> EN-DC was captured as follows in </w:t>
      </w:r>
      <w:r w:rsidR="003044B3">
        <w:rPr>
          <w:rFonts w:eastAsiaTheme="minorEastAsia"/>
          <w:lang w:eastAsia="zh-CN"/>
        </w:rPr>
        <w:t>paper</w:t>
      </w:r>
      <w:r>
        <w:rPr>
          <w:rFonts w:eastAsiaTheme="minorEastAsia"/>
          <w:lang w:eastAsia="zh-CN"/>
        </w:rPr>
        <w:t xml:space="preserve"> [</w:t>
      </w:r>
      <w:r w:rsidR="003044B3">
        <w:rPr>
          <w:rFonts w:eastAsiaTheme="minorEastAsia"/>
          <w:lang w:eastAsia="zh-CN"/>
        </w:rPr>
        <w:t>3</w:t>
      </w:r>
      <w:r>
        <w:rPr>
          <w:rFonts w:eastAsiaTheme="minorEastAsia"/>
          <w:lang w:eastAsia="zh-CN"/>
        </w:rPr>
        <w:t xml:space="preserve">], but it may cause some misunderstanding. </w:t>
      </w:r>
    </w:p>
    <w:tbl>
      <w:tblPr>
        <w:tblStyle w:val="a9"/>
        <w:tblW w:w="0" w:type="auto"/>
        <w:tblLook w:val="04A0" w:firstRow="1" w:lastRow="0" w:firstColumn="1" w:lastColumn="0" w:noHBand="0" w:noVBand="1"/>
      </w:tblPr>
      <w:tblGrid>
        <w:gridCol w:w="8296"/>
      </w:tblGrid>
      <w:tr w:rsidR="000C48DB" w:rsidTr="000C48DB">
        <w:tc>
          <w:tcPr>
            <w:tcW w:w="8296" w:type="dxa"/>
          </w:tcPr>
          <w:p w:rsidR="000C48DB" w:rsidRPr="00EF5447" w:rsidRDefault="000C48DB" w:rsidP="000C48DB">
            <w:pPr>
              <w:spacing w:after="0"/>
              <w:jc w:val="both"/>
            </w:pPr>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p>
          <w:p w:rsidR="000C48DB" w:rsidRPr="00EF5447" w:rsidRDefault="000C48DB" w:rsidP="000C48DB">
            <w:pPr>
              <w:pStyle w:val="B2"/>
              <w:spacing w:after="0"/>
              <w:ind w:leftChars="100" w:left="600" w:hangingChars="200" w:hanging="400"/>
              <w:jc w:val="both"/>
            </w:pPr>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p>
          <w:p w:rsidR="000C48DB" w:rsidRPr="00EF5447" w:rsidRDefault="000C48DB" w:rsidP="000C48DB">
            <w:pPr>
              <w:pStyle w:val="B2"/>
              <w:spacing w:after="0"/>
              <w:ind w:leftChars="100" w:left="600" w:hangingChars="200" w:hanging="400"/>
              <w:jc w:val="both"/>
            </w:pPr>
            <w:r w:rsidRPr="00EF5447">
              <w:lastRenderedPageBreak/>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not absent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p>
          <w:p w:rsidR="000C48DB" w:rsidRPr="00EF5447" w:rsidRDefault="000C48DB" w:rsidP="000C48DB">
            <w:pPr>
              <w:pStyle w:val="B2"/>
              <w:spacing w:after="0"/>
              <w:ind w:leftChars="100" w:left="600" w:hangingChars="200" w:hanging="400"/>
              <w:jc w:val="both"/>
            </w:pPr>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p>
          <w:p w:rsidR="000C48DB" w:rsidRPr="00EF5447" w:rsidRDefault="000C48DB" w:rsidP="000C48DB">
            <w:pPr>
              <w:pStyle w:val="B2"/>
              <w:spacing w:after="0"/>
              <w:ind w:leftChars="300" w:left="1000" w:hangingChars="200" w:hanging="400"/>
              <w:jc w:val="both"/>
            </w:pPr>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6.2B.4</w:t>
            </w:r>
            <w:r w:rsidRPr="00EF5447">
              <w:t>;</w:t>
            </w:r>
          </w:p>
          <w:p w:rsidR="000C48DB" w:rsidRPr="00EF5447" w:rsidRDefault="000C48DB" w:rsidP="000C48DB">
            <w:pPr>
              <w:pStyle w:val="B2"/>
              <w:spacing w:after="0"/>
              <w:ind w:leftChars="100" w:left="600" w:hangingChars="200" w:hanging="400"/>
              <w:jc w:val="both"/>
              <w:rPr>
                <w:szCs w:val="22"/>
                <w:lang w:eastAsia="zh-CN"/>
              </w:rPr>
            </w:pPr>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p>
          <w:p w:rsidR="000C48DB" w:rsidRPr="00EF5447" w:rsidRDefault="000C48DB" w:rsidP="000C48DB">
            <w:pPr>
              <w:pStyle w:val="B2"/>
              <w:spacing w:after="0"/>
              <w:ind w:leftChars="100" w:left="600" w:hangingChars="200" w:hanging="400"/>
              <w:jc w:val="both"/>
              <w:rPr>
                <w:szCs w:val="22"/>
                <w:lang w:eastAsia="zh-CN"/>
              </w:rPr>
            </w:pPr>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p>
          <w:p w:rsidR="000C48DB" w:rsidRDefault="000C48DB" w:rsidP="000C48DB">
            <w:pPr>
              <w:pStyle w:val="B2"/>
              <w:spacing w:after="0"/>
              <w:ind w:leftChars="300" w:left="1000" w:hangingChars="200" w:hanging="400"/>
              <w:jc w:val="both"/>
              <w:rPr>
                <w:lang w:eastAsia="zh-CN"/>
              </w:rPr>
            </w:pPr>
            <w:r w:rsidRPr="00EF5447">
              <w:t>–</w:t>
            </w:r>
            <w:r w:rsidRPr="00EF5447">
              <w:tab/>
              <w:t xml:space="preserve">shall apply all requirements for the </w:t>
            </w:r>
            <w:r w:rsidRPr="00F944AA">
              <w:rPr>
                <w:color w:val="FF0000"/>
              </w:rPr>
              <w:t>power class 2</w:t>
            </w:r>
            <w:r w:rsidRPr="00F944AA">
              <w:rPr>
                <w:strike/>
                <w:color w:val="FF0000"/>
                <w:lang w:eastAsia="zh-CN"/>
              </w:rPr>
              <w:t xml:space="preserve">supported </w:t>
            </w:r>
            <w:r w:rsidRPr="00F944AA">
              <w:rPr>
                <w:strike/>
                <w:color w:val="FF0000"/>
              </w:rPr>
              <w:t>power clas</w:t>
            </w:r>
            <w:r w:rsidRPr="00EF5447">
              <w:t>s and set the configured transmitted power</w:t>
            </w:r>
            <w:r w:rsidRPr="00EF5447">
              <w:rPr>
                <w:lang w:eastAsia="zh-CN"/>
              </w:rPr>
              <w:t xml:space="preserve"> class</w:t>
            </w:r>
            <w:r w:rsidRPr="00EF5447">
              <w:t xml:space="preserve"> as specified in </w:t>
            </w:r>
            <w:r w:rsidRPr="00EF5447">
              <w:rPr>
                <w:lang w:eastAsia="zh-CN"/>
              </w:rPr>
              <w:t>sub-clause 6.2B.4.</w:t>
            </w:r>
          </w:p>
          <w:p w:rsidR="000C48DB" w:rsidRPr="00F944AA" w:rsidRDefault="000C48DB" w:rsidP="000C48DB">
            <w:pPr>
              <w:spacing w:after="0"/>
              <w:ind w:leftChars="100" w:left="600" w:hangingChars="200" w:hanging="400"/>
              <w:jc w:val="both"/>
              <w:rPr>
                <w:rFonts w:eastAsia="宋体"/>
                <w:color w:val="FF0000"/>
              </w:rPr>
            </w:pPr>
            <w:r w:rsidRPr="00F944AA">
              <w:rPr>
                <w:rFonts w:eastAsia="宋体"/>
                <w:color w:val="FF0000"/>
              </w:rPr>
              <w:t xml:space="preserve">Else if the IE </w:t>
            </w:r>
            <w:r w:rsidRPr="00F944AA">
              <w:rPr>
                <w:rFonts w:eastAsia="宋体"/>
                <w:i/>
                <w:color w:val="FF0000"/>
              </w:rPr>
              <w:t>p-maxUE-FR1</w:t>
            </w:r>
            <w:r w:rsidRPr="00F944AA">
              <w:rPr>
                <w:rFonts w:eastAsia="宋体"/>
                <w:color w:val="FF0000"/>
              </w:rPr>
              <w:t xml:space="preserve"> as defined in TS 38.331 is not provided or set to the higher value than the maximum output power of the default power class and the percentage of NR uplink symbols transmitted in a certain evaluation period is less than or equal t</w:t>
            </w:r>
            <w:r w:rsidRPr="00F944AA">
              <w:rPr>
                <w:rFonts w:eastAsia="宋体"/>
                <w:i/>
                <w:color w:val="FF0000"/>
              </w:rPr>
              <w:t>o 0.5*maxUplinkDutyCycle-interBandENDC-TDD-PC2-r16</w:t>
            </w:r>
            <w:r w:rsidRPr="00F944AA">
              <w:rPr>
                <w:rFonts w:eastAsia="宋体"/>
                <w:color w:val="FF0000"/>
              </w:rPr>
              <w:t xml:space="preserve"> as defined in TS 38.331; or</w:t>
            </w:r>
          </w:p>
          <w:p w:rsidR="000C48DB" w:rsidRPr="00F944AA" w:rsidRDefault="000C48DB" w:rsidP="000C48DB">
            <w:pPr>
              <w:spacing w:after="0"/>
              <w:ind w:leftChars="100" w:left="600" w:hangingChars="200" w:hanging="400"/>
              <w:jc w:val="both"/>
              <w:rPr>
                <w:color w:val="FF0000"/>
                <w:lang w:eastAsia="zh-CN"/>
              </w:rPr>
            </w:pPr>
            <w:r w:rsidRPr="00F944AA">
              <w:rPr>
                <w:rFonts w:eastAsia="宋体"/>
                <w:color w:val="FF0000"/>
              </w:rPr>
              <w:t>–</w:t>
            </w:r>
            <w:r w:rsidRPr="00F944AA">
              <w:rPr>
                <w:rFonts w:eastAsia="宋体"/>
                <w:color w:val="FF0000"/>
              </w:rPr>
              <w:tab/>
              <w:t xml:space="preserve">if the IE </w:t>
            </w:r>
            <w:r w:rsidRPr="00F944AA">
              <w:rPr>
                <w:rFonts w:eastAsia="宋体"/>
                <w:i/>
                <w:color w:val="FF0000"/>
              </w:rPr>
              <w:t>p-maxUE-FR1</w:t>
            </w:r>
            <w:r w:rsidRPr="00F944AA">
              <w:rPr>
                <w:rFonts w:eastAsia="宋体"/>
                <w:color w:val="FF0000"/>
              </w:rPr>
              <w:t xml:space="preserve"> as defined in TS 38.331 is not provided or set to the higher value than the maximum output power of the default power class and the percentage of NR uplink symbols transmitted in a certain evaluation period is less than or equal to 15% when </w:t>
            </w:r>
            <w:r w:rsidRPr="00F944AA">
              <w:rPr>
                <w:rFonts w:eastAsia="宋体"/>
                <w:i/>
                <w:color w:val="FF0000"/>
              </w:rPr>
              <w:t>maxUplinkDutyCycle-interBandENDC-TDD-PC2-r16</w:t>
            </w:r>
            <w:r w:rsidRPr="00F944AA">
              <w:rPr>
                <w:rFonts w:eastAsia="宋体"/>
                <w:color w:val="FF0000"/>
              </w:rPr>
              <w:t xml:space="preserve"> is absent. (The exact evaluation period is no less than one radio frame):</w:t>
            </w:r>
          </w:p>
          <w:p w:rsidR="000C48DB" w:rsidRDefault="000C48DB" w:rsidP="000C48DB">
            <w:pPr>
              <w:spacing w:after="0"/>
              <w:jc w:val="both"/>
              <w:rPr>
                <w:rFonts w:eastAsiaTheme="minorEastAsia"/>
                <w:lang w:eastAsia="zh-CN"/>
              </w:rPr>
            </w:pPr>
            <w:r w:rsidRPr="00F944AA">
              <w:rPr>
                <w:color w:val="FF0000"/>
              </w:rPr>
              <w:t>–</w:t>
            </w:r>
            <w:r w:rsidRPr="00F944AA">
              <w:rPr>
                <w:color w:val="FF0000"/>
              </w:rPr>
              <w:tab/>
              <w:t xml:space="preserve">shall apply all requirements for the </w:t>
            </w:r>
            <w:r w:rsidRPr="00F944AA">
              <w:rPr>
                <w:color w:val="FF0000"/>
                <w:lang w:eastAsia="zh-CN"/>
              </w:rPr>
              <w:t xml:space="preserve">supported </w:t>
            </w:r>
            <w:r w:rsidRPr="00F944AA">
              <w:rPr>
                <w:color w:val="FF0000"/>
              </w:rPr>
              <w:t>power class and set the configured transmitted power</w:t>
            </w:r>
            <w:r w:rsidRPr="00F944AA">
              <w:rPr>
                <w:color w:val="FF0000"/>
                <w:lang w:eastAsia="zh-CN"/>
              </w:rPr>
              <w:t xml:space="preserve"> class</w:t>
            </w:r>
            <w:r w:rsidRPr="00F944AA">
              <w:rPr>
                <w:color w:val="FF0000"/>
              </w:rPr>
              <w:t xml:space="preserve"> as specified in </w:t>
            </w:r>
            <w:r w:rsidRPr="00F944AA">
              <w:rPr>
                <w:color w:val="FF0000"/>
                <w:lang w:eastAsia="zh-CN"/>
              </w:rPr>
              <w:t>sub-clause 6.2B.4.</w:t>
            </w:r>
          </w:p>
        </w:tc>
      </w:tr>
    </w:tbl>
    <w:p w:rsidR="009C1F1E" w:rsidRDefault="000C48DB" w:rsidP="00C7568E">
      <w:pPr>
        <w:spacing w:beforeLines="50" w:before="156" w:after="0"/>
        <w:jc w:val="both"/>
        <w:rPr>
          <w:rFonts w:eastAsiaTheme="minorEastAsia"/>
          <w:lang w:eastAsia="zh-CN"/>
        </w:rPr>
      </w:pPr>
      <w:r>
        <w:rPr>
          <w:rFonts w:eastAsiaTheme="minorEastAsia" w:hint="eastAsia"/>
          <w:lang w:eastAsia="zh-CN"/>
        </w:rPr>
        <w:lastRenderedPageBreak/>
        <w:t>F</w:t>
      </w:r>
      <w:r>
        <w:rPr>
          <w:rFonts w:eastAsiaTheme="minorEastAsia"/>
          <w:lang w:eastAsia="zh-CN"/>
        </w:rPr>
        <w:t xml:space="preserve">rom the perspective of </w:t>
      </w:r>
      <w:r w:rsidRPr="000C48DB">
        <w:rPr>
          <w:rFonts w:eastAsiaTheme="minorEastAsia"/>
          <w:lang w:eastAsia="zh-CN"/>
        </w:rPr>
        <w:t>conditional statement</w:t>
      </w:r>
      <w:r>
        <w:rPr>
          <w:rFonts w:eastAsiaTheme="minorEastAsia"/>
          <w:lang w:eastAsia="zh-CN"/>
        </w:rPr>
        <w:t xml:space="preserve">, </w:t>
      </w:r>
      <w:r w:rsidR="00965342">
        <w:rPr>
          <w:rFonts w:eastAsiaTheme="minorEastAsia"/>
          <w:lang w:eastAsia="zh-CN"/>
        </w:rPr>
        <w:t xml:space="preserve">when we make a solution with multiple cases, </w:t>
      </w:r>
      <w:r>
        <w:rPr>
          <w:rFonts w:eastAsiaTheme="minorEastAsia"/>
          <w:lang w:eastAsia="zh-CN"/>
        </w:rPr>
        <w:t xml:space="preserve">if the </w:t>
      </w:r>
      <w:r w:rsidR="003044B3">
        <w:rPr>
          <w:rFonts w:eastAsiaTheme="minorEastAsia"/>
          <w:lang w:eastAsia="zh-CN"/>
        </w:rPr>
        <w:t>above</w:t>
      </w:r>
      <w:r>
        <w:rPr>
          <w:rFonts w:eastAsiaTheme="minorEastAsia"/>
          <w:lang w:eastAsia="zh-CN"/>
        </w:rPr>
        <w:t xml:space="preserve"> “else if” condition </w:t>
      </w:r>
      <w:r w:rsidR="003044B3">
        <w:rPr>
          <w:rFonts w:eastAsiaTheme="minorEastAsia"/>
          <w:lang w:eastAsia="zh-CN"/>
        </w:rPr>
        <w:t>is</w:t>
      </w:r>
      <w:r>
        <w:rPr>
          <w:rFonts w:eastAsiaTheme="minorEastAsia"/>
          <w:lang w:eastAsia="zh-CN"/>
        </w:rPr>
        <w:t xml:space="preserve"> satisfied, it will not execute those </w:t>
      </w:r>
      <w:r w:rsidR="003044B3">
        <w:rPr>
          <w:rFonts w:eastAsiaTheme="minorEastAsia"/>
          <w:lang w:eastAsia="zh-CN"/>
        </w:rPr>
        <w:t>below</w:t>
      </w:r>
      <w:r w:rsidR="003044B3" w:rsidRPr="003044B3">
        <w:rPr>
          <w:rFonts w:eastAsiaTheme="minorEastAsia"/>
          <w:lang w:eastAsia="zh-CN"/>
        </w:rPr>
        <w:t xml:space="preserve"> statements</w:t>
      </w:r>
      <w:r w:rsidR="003044B3">
        <w:rPr>
          <w:rFonts w:eastAsiaTheme="minorEastAsia"/>
          <w:lang w:eastAsia="zh-CN"/>
        </w:rPr>
        <w:t xml:space="preserve">. </w:t>
      </w:r>
    </w:p>
    <w:p w:rsidR="000C48DB" w:rsidRDefault="009C1F1E" w:rsidP="00C7568E">
      <w:pPr>
        <w:spacing w:afterLines="50" w:after="156"/>
        <w:jc w:val="both"/>
      </w:pPr>
      <w:r>
        <w:rPr>
          <w:rFonts w:eastAsiaTheme="minorEastAsia"/>
          <w:lang w:eastAsia="zh-CN"/>
        </w:rPr>
        <w:t>And i</w:t>
      </w:r>
      <w:r w:rsidR="003044B3">
        <w:rPr>
          <w:rFonts w:eastAsiaTheme="minorEastAsia"/>
          <w:lang w:eastAsia="zh-CN"/>
        </w:rPr>
        <w:t xml:space="preserve">n the description in paper [3], the first “else if” </w:t>
      </w:r>
      <w:r>
        <w:rPr>
          <w:rFonts w:eastAsiaTheme="minorEastAsia"/>
          <w:lang w:eastAsia="zh-CN"/>
        </w:rPr>
        <w:t xml:space="preserve">conditional </w:t>
      </w:r>
      <w:r w:rsidR="003044B3">
        <w:rPr>
          <w:rFonts w:eastAsiaTheme="minorEastAsia"/>
          <w:lang w:eastAsia="zh-CN"/>
        </w:rPr>
        <w:t xml:space="preserve">statement can be summarized as duty cycle is less </w:t>
      </w:r>
      <w:r>
        <w:rPr>
          <w:rFonts w:eastAsiaTheme="minorEastAsia"/>
          <w:lang w:eastAsia="zh-CN"/>
        </w:rPr>
        <w:t xml:space="preserve">than or equal to 30% or </w:t>
      </w:r>
      <w:r w:rsidRPr="00EF5447">
        <w:rPr>
          <w:i/>
        </w:rPr>
        <w:t>maxUplinkDutyCycle-interBandENDC-TDD-PC2-r16</w:t>
      </w:r>
      <w:r>
        <w:t xml:space="preserve">, and </w:t>
      </w:r>
      <w:r>
        <w:rPr>
          <w:rFonts w:eastAsiaTheme="minorEastAsia"/>
          <w:lang w:eastAsia="zh-CN"/>
        </w:rPr>
        <w:t xml:space="preserve">the second “else if” conditional statement can be summarized as duty cycle is less than or equal to 15% or </w:t>
      </w:r>
      <w:r w:rsidRPr="00EF5447">
        <w:rPr>
          <w:i/>
        </w:rPr>
        <w:t>maxUplinkDutyCycle-interBandENDC-TDD-PC2-r16</w:t>
      </w:r>
      <w:r>
        <w:t xml:space="preserve">. Obviously the first one contains the second one and there will be such a situation </w:t>
      </w:r>
      <w:r w:rsidR="00965342">
        <w:t xml:space="preserve">that </w:t>
      </w:r>
      <w:r>
        <w:t xml:space="preserve">PC1.5 UE </w:t>
      </w:r>
      <w:r w:rsidR="00965342">
        <w:t xml:space="preserve">fall back to </w:t>
      </w:r>
      <w:r w:rsidR="00C7568E">
        <w:t>PC2(fall into the first “else if” statement)</w:t>
      </w:r>
      <w:r w:rsidR="00965342">
        <w:t xml:space="preserve"> when </w:t>
      </w:r>
      <w:r w:rsidR="00C7568E">
        <w:t xml:space="preserve">we don’t expect it to. And this misunderstanding can be corrected by switching the positions of the two conditional statements as below: </w:t>
      </w:r>
    </w:p>
    <w:tbl>
      <w:tblPr>
        <w:tblStyle w:val="a9"/>
        <w:tblW w:w="0" w:type="auto"/>
        <w:tblLook w:val="04A0" w:firstRow="1" w:lastRow="0" w:firstColumn="1" w:lastColumn="0" w:noHBand="0" w:noVBand="1"/>
      </w:tblPr>
      <w:tblGrid>
        <w:gridCol w:w="8296"/>
      </w:tblGrid>
      <w:tr w:rsidR="00C7568E" w:rsidTr="00C7568E">
        <w:tc>
          <w:tcPr>
            <w:tcW w:w="8296" w:type="dxa"/>
          </w:tcPr>
          <w:p w:rsidR="00C7568E" w:rsidRPr="00EF5447" w:rsidRDefault="00C7568E" w:rsidP="00C7568E">
            <w:pPr>
              <w:spacing w:after="0"/>
              <w:jc w:val="both"/>
            </w:pPr>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p>
          <w:p w:rsidR="00C7568E" w:rsidRPr="00EF5447" w:rsidRDefault="00C7568E" w:rsidP="00C7568E">
            <w:pPr>
              <w:pStyle w:val="B2"/>
              <w:spacing w:after="0"/>
              <w:ind w:leftChars="100" w:left="600" w:hangingChars="200" w:hanging="400"/>
              <w:jc w:val="both"/>
            </w:pPr>
            <w:r w:rsidRPr="00EF5447">
              <w:lastRenderedPageBreak/>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p>
          <w:p w:rsidR="00C7568E" w:rsidRPr="00EF5447" w:rsidRDefault="00C7568E" w:rsidP="00C7568E">
            <w:pPr>
              <w:pStyle w:val="B2"/>
              <w:spacing w:after="0"/>
              <w:ind w:leftChars="100" w:left="600" w:hangingChars="200" w:hanging="400"/>
              <w:jc w:val="both"/>
            </w:pPr>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not absent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p>
          <w:p w:rsidR="00C7568E" w:rsidRPr="00EF5447" w:rsidRDefault="00C7568E" w:rsidP="00C7568E">
            <w:pPr>
              <w:pStyle w:val="B2"/>
              <w:spacing w:after="0"/>
              <w:ind w:leftChars="100" w:left="600" w:hangingChars="200" w:hanging="400"/>
              <w:jc w:val="both"/>
            </w:pPr>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p>
          <w:p w:rsidR="00C7568E" w:rsidRDefault="00C7568E" w:rsidP="00C7568E">
            <w:pPr>
              <w:pStyle w:val="B2"/>
              <w:spacing w:after="0"/>
              <w:ind w:leftChars="300" w:left="1000" w:hangingChars="200" w:hanging="400"/>
              <w:jc w:val="both"/>
            </w:pPr>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6.2B.4</w:t>
            </w:r>
            <w:r w:rsidRPr="00EF5447">
              <w:t>;</w:t>
            </w:r>
          </w:p>
          <w:p w:rsidR="00C7568E" w:rsidRPr="00F944AA" w:rsidRDefault="00C7568E" w:rsidP="00C7568E">
            <w:pPr>
              <w:spacing w:after="0"/>
              <w:ind w:leftChars="100" w:left="600" w:hangingChars="200" w:hanging="400"/>
              <w:jc w:val="both"/>
              <w:rPr>
                <w:rFonts w:eastAsia="宋体"/>
                <w:color w:val="FF0000"/>
              </w:rPr>
            </w:pPr>
            <w:r w:rsidRPr="00C7568E">
              <w:rPr>
                <w:color w:val="FF0000"/>
              </w:rPr>
              <w:t>–</w:t>
            </w:r>
            <w:r w:rsidRPr="00C7568E">
              <w:rPr>
                <w:color w:val="FF0000"/>
              </w:rPr>
              <w:tab/>
            </w:r>
            <w:r>
              <w:rPr>
                <w:rFonts w:eastAsia="宋体"/>
                <w:color w:val="FF0000"/>
              </w:rPr>
              <w:t>e</w:t>
            </w:r>
            <w:r w:rsidRPr="00F944AA">
              <w:rPr>
                <w:rFonts w:eastAsia="宋体"/>
                <w:color w:val="FF0000"/>
              </w:rPr>
              <w:t xml:space="preserve">lse if the IE </w:t>
            </w:r>
            <w:r w:rsidRPr="00F944AA">
              <w:rPr>
                <w:rFonts w:eastAsia="宋体"/>
                <w:i/>
                <w:color w:val="FF0000"/>
              </w:rPr>
              <w:t>p-maxUE-FR1</w:t>
            </w:r>
            <w:r w:rsidRPr="00F944AA">
              <w:rPr>
                <w:rFonts w:eastAsia="宋体"/>
                <w:color w:val="FF0000"/>
              </w:rPr>
              <w:t xml:space="preserve"> as defined in TS 38.331 is not provided or set to the higher value than the maximum output power of the default power class and the percentage of NR uplink symbols transmitted in a certain evaluation period is less than or equal t</w:t>
            </w:r>
            <w:r w:rsidRPr="00F944AA">
              <w:rPr>
                <w:rFonts w:eastAsia="宋体"/>
                <w:i/>
                <w:color w:val="FF0000"/>
              </w:rPr>
              <w:t>o 0.5*maxUplinkDutyCycle-interBandENDC-TDD-PC2-r16</w:t>
            </w:r>
            <w:r w:rsidRPr="00F944AA">
              <w:rPr>
                <w:rFonts w:eastAsia="宋体"/>
                <w:color w:val="FF0000"/>
              </w:rPr>
              <w:t xml:space="preserve"> as defined in TS 38.331; or</w:t>
            </w:r>
          </w:p>
          <w:p w:rsidR="00C7568E" w:rsidRPr="00F944AA" w:rsidRDefault="00C7568E" w:rsidP="00C7568E">
            <w:pPr>
              <w:spacing w:after="0"/>
              <w:ind w:leftChars="100" w:left="600" w:hangingChars="200" w:hanging="400"/>
              <w:jc w:val="both"/>
              <w:rPr>
                <w:color w:val="FF0000"/>
                <w:lang w:eastAsia="zh-CN"/>
              </w:rPr>
            </w:pPr>
            <w:r w:rsidRPr="00F944AA">
              <w:rPr>
                <w:rFonts w:eastAsia="宋体"/>
                <w:color w:val="FF0000"/>
              </w:rPr>
              <w:t>–</w:t>
            </w:r>
            <w:r w:rsidRPr="00F944AA">
              <w:rPr>
                <w:rFonts w:eastAsia="宋体"/>
                <w:color w:val="FF0000"/>
              </w:rPr>
              <w:tab/>
            </w:r>
            <w:r>
              <w:rPr>
                <w:rFonts w:eastAsia="宋体"/>
                <w:color w:val="FF0000"/>
              </w:rPr>
              <w:t xml:space="preserve">   </w:t>
            </w:r>
            <w:r w:rsidRPr="00F944AA">
              <w:rPr>
                <w:rFonts w:eastAsia="宋体"/>
                <w:color w:val="FF0000"/>
              </w:rPr>
              <w:t xml:space="preserve">if the IE </w:t>
            </w:r>
            <w:r w:rsidRPr="00F944AA">
              <w:rPr>
                <w:rFonts w:eastAsia="宋体"/>
                <w:i/>
                <w:color w:val="FF0000"/>
              </w:rPr>
              <w:t>p-maxUE-FR1</w:t>
            </w:r>
            <w:r w:rsidRPr="00F944AA">
              <w:rPr>
                <w:rFonts w:eastAsia="宋体"/>
                <w:color w:val="FF0000"/>
              </w:rPr>
              <w:t xml:space="preserve"> as defined in TS 38.331 is not provided or set to the higher value than the maximum output power of the default power class and the percentage of NR uplink symbols transmitted in a certain evaluation period is less than or equal to 15% when </w:t>
            </w:r>
            <w:r w:rsidRPr="00F944AA">
              <w:rPr>
                <w:rFonts w:eastAsia="宋体"/>
                <w:i/>
                <w:color w:val="FF0000"/>
              </w:rPr>
              <w:t>maxUplinkDutyCycle-interBandENDC-TDD-PC2-r16</w:t>
            </w:r>
            <w:r w:rsidRPr="00F944AA">
              <w:rPr>
                <w:rFonts w:eastAsia="宋体"/>
                <w:color w:val="FF0000"/>
              </w:rPr>
              <w:t xml:space="preserve"> is absent. (The exact evaluation period is no less than one radio frame):</w:t>
            </w:r>
          </w:p>
          <w:p w:rsidR="00C7568E" w:rsidRPr="00C7568E" w:rsidRDefault="00C7568E" w:rsidP="00C7568E">
            <w:pPr>
              <w:pStyle w:val="B2"/>
              <w:spacing w:after="0"/>
              <w:ind w:leftChars="300" w:left="1000" w:hangingChars="200" w:hanging="400"/>
              <w:jc w:val="both"/>
              <w:rPr>
                <w:color w:val="FF0000"/>
              </w:rPr>
            </w:pPr>
            <w:r w:rsidRPr="00C7568E">
              <w:rPr>
                <w:color w:val="FF0000"/>
              </w:rPr>
              <w:t>–</w:t>
            </w:r>
            <w:r w:rsidRPr="00C7568E">
              <w:rPr>
                <w:color w:val="FF0000"/>
              </w:rPr>
              <w:tab/>
              <w:t>shall apply all requirements for the supported power class and set the configured transmitted power class as specified in sub-clause 6.2B.4.</w:t>
            </w:r>
          </w:p>
          <w:p w:rsidR="00C7568E" w:rsidRPr="00EF5447" w:rsidRDefault="00C7568E" w:rsidP="00C7568E">
            <w:pPr>
              <w:pStyle w:val="B2"/>
              <w:spacing w:after="0"/>
              <w:ind w:leftChars="100" w:left="600" w:hangingChars="200" w:hanging="400"/>
              <w:jc w:val="both"/>
              <w:rPr>
                <w:szCs w:val="22"/>
                <w:lang w:eastAsia="zh-CN"/>
              </w:rPr>
            </w:pPr>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p>
          <w:p w:rsidR="00C7568E" w:rsidRPr="00EF5447" w:rsidRDefault="00C7568E" w:rsidP="00C7568E">
            <w:pPr>
              <w:pStyle w:val="B2"/>
              <w:spacing w:after="0"/>
              <w:ind w:leftChars="100" w:left="600" w:hangingChars="200" w:hanging="400"/>
              <w:jc w:val="both"/>
              <w:rPr>
                <w:szCs w:val="22"/>
                <w:lang w:eastAsia="zh-CN"/>
              </w:rPr>
            </w:pPr>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p>
          <w:p w:rsidR="00C7568E" w:rsidRDefault="00C7568E" w:rsidP="00C7568E">
            <w:pPr>
              <w:pStyle w:val="B2"/>
              <w:spacing w:after="0"/>
              <w:ind w:leftChars="300" w:left="1000" w:hangingChars="200" w:hanging="400"/>
              <w:jc w:val="both"/>
              <w:rPr>
                <w:lang w:eastAsia="zh-CN"/>
              </w:rPr>
            </w:pPr>
            <w:r w:rsidRPr="00EF5447">
              <w:t>–</w:t>
            </w:r>
            <w:r w:rsidRPr="00EF5447">
              <w:tab/>
              <w:t xml:space="preserve">shall apply all requirements for the </w:t>
            </w:r>
            <w:r w:rsidRPr="00F944AA">
              <w:rPr>
                <w:color w:val="FF0000"/>
              </w:rPr>
              <w:t>power class 2</w:t>
            </w:r>
            <w:r w:rsidRPr="00F944AA">
              <w:rPr>
                <w:strike/>
                <w:color w:val="FF0000"/>
                <w:lang w:eastAsia="zh-CN"/>
              </w:rPr>
              <w:t xml:space="preserve">supported </w:t>
            </w:r>
            <w:r w:rsidRPr="00F944AA">
              <w:rPr>
                <w:strike/>
                <w:color w:val="FF0000"/>
              </w:rPr>
              <w:t>power clas</w:t>
            </w:r>
            <w:r w:rsidRPr="00EF5447">
              <w:t>s and set the configured transmitted power</w:t>
            </w:r>
            <w:r w:rsidRPr="00EF5447">
              <w:rPr>
                <w:lang w:eastAsia="zh-CN"/>
              </w:rPr>
              <w:t xml:space="preserve"> class</w:t>
            </w:r>
            <w:r w:rsidRPr="00EF5447">
              <w:t xml:space="preserve"> as specified in </w:t>
            </w:r>
            <w:r w:rsidRPr="00EF5447">
              <w:rPr>
                <w:lang w:eastAsia="zh-CN"/>
              </w:rPr>
              <w:t>sub-clause 6.2B.4.</w:t>
            </w:r>
          </w:p>
          <w:p w:rsidR="00C7568E" w:rsidRDefault="00C7568E" w:rsidP="00C7568E">
            <w:pPr>
              <w:spacing w:after="0"/>
              <w:jc w:val="both"/>
              <w:rPr>
                <w:rFonts w:eastAsiaTheme="minorEastAsia"/>
                <w:lang w:eastAsia="zh-CN"/>
              </w:rPr>
            </w:pPr>
          </w:p>
        </w:tc>
      </w:tr>
    </w:tbl>
    <w:p w:rsidR="00C7568E" w:rsidRDefault="00C7568E" w:rsidP="00C7568E">
      <w:pPr>
        <w:spacing w:beforeLines="50" w:before="156" w:after="0"/>
        <w:jc w:val="both"/>
        <w:rPr>
          <w:b/>
          <w:i/>
        </w:rPr>
      </w:pPr>
      <w:r w:rsidRPr="00C7568E">
        <w:rPr>
          <w:rFonts w:eastAsiaTheme="minorEastAsia" w:hint="eastAsia"/>
          <w:b/>
          <w:i/>
          <w:lang w:eastAsia="zh-CN"/>
        </w:rPr>
        <w:lastRenderedPageBreak/>
        <w:t>P</w:t>
      </w:r>
      <w:r w:rsidRPr="00C7568E">
        <w:rPr>
          <w:rFonts w:eastAsiaTheme="minorEastAsia"/>
          <w:b/>
          <w:i/>
          <w:lang w:eastAsia="zh-CN"/>
        </w:rPr>
        <w:t>roposal2:</w:t>
      </w:r>
      <w:r w:rsidRPr="00C7568E">
        <w:rPr>
          <w:b/>
          <w:i/>
        </w:rPr>
        <w:t xml:space="preserve"> </w:t>
      </w:r>
      <w:r w:rsidR="00C730C7">
        <w:rPr>
          <w:b/>
          <w:i/>
        </w:rPr>
        <w:t>For PC1.5 TDD+TDD EN-DC duty cycle solution, t</w:t>
      </w:r>
      <w:r w:rsidRPr="00C7568E">
        <w:rPr>
          <w:b/>
          <w:i/>
        </w:rPr>
        <w:t>he first “else if</w:t>
      </w:r>
      <w:r w:rsidR="00C730C7">
        <w:rPr>
          <w:b/>
          <w:i/>
        </w:rPr>
        <w:t xml:space="preserve">” </w:t>
      </w:r>
      <w:r w:rsidRPr="00C7568E">
        <w:rPr>
          <w:b/>
          <w:i/>
        </w:rPr>
        <w:t>conditional statement contains the second one and there will be such a situation that PC1.5 UE fall back to PC2(fall into the first “else if” statement) when we don’t expect it to, and this misunderstanding can be corrected by switching the positions of the two condit</w:t>
      </w:r>
      <w:r w:rsidR="00C730C7">
        <w:rPr>
          <w:b/>
          <w:i/>
        </w:rPr>
        <w:t xml:space="preserve">ional statements. </w:t>
      </w:r>
      <w:r w:rsidRPr="00C7568E">
        <w:rPr>
          <w:b/>
          <w:i/>
        </w:rPr>
        <w:t xml:space="preserve"> </w:t>
      </w:r>
    </w:p>
    <w:p w:rsidR="00C730C7" w:rsidRPr="00C730C7" w:rsidRDefault="00C730C7" w:rsidP="00C7568E">
      <w:pPr>
        <w:spacing w:beforeLines="50" w:before="156" w:after="0"/>
        <w:jc w:val="both"/>
      </w:pPr>
      <w:r>
        <w:t xml:space="preserve">Although the reflection in spec is not </w:t>
      </w:r>
      <w:r w:rsidRPr="00C730C7">
        <w:t>strict</w:t>
      </w:r>
      <w:r>
        <w:t xml:space="preserve"> programming code, </w:t>
      </w:r>
      <w:r w:rsidR="001B6838">
        <w:t>we should follow the l</w:t>
      </w:r>
      <w:r w:rsidR="001B6838" w:rsidRPr="001B6838">
        <w:t>ogical relation</w:t>
      </w:r>
      <w:r w:rsidR="001B6838">
        <w:t xml:space="preserve">. And on the basis of paper [2]&amp;[3], we will also submit two draftCRs for PC1.5 duty cycle solution on CA and EN-DC for 38.101-1&amp;101-3. </w:t>
      </w:r>
    </w:p>
    <w:p w:rsidR="00B25FD3" w:rsidRDefault="00B25FD3" w:rsidP="009729F1">
      <w:pPr>
        <w:pStyle w:val="1"/>
        <w:rPr>
          <w:rFonts w:eastAsia="宋体"/>
          <w:lang w:eastAsia="zh-CN"/>
        </w:rPr>
      </w:pPr>
      <w:r w:rsidRPr="00CF1099">
        <w:rPr>
          <w:rFonts w:eastAsia="宋体" w:hint="eastAsia"/>
          <w:lang w:eastAsia="zh-CN"/>
        </w:rPr>
        <w:lastRenderedPageBreak/>
        <w:t>C</w:t>
      </w:r>
      <w:r w:rsidR="000C48DB">
        <w:rPr>
          <w:rFonts w:eastAsia="宋体" w:hint="eastAsia"/>
          <w:lang w:eastAsia="zh-CN"/>
        </w:rPr>
        <w:t>onclusi</w:t>
      </w:r>
      <w:r w:rsidR="000C48DB">
        <w:rPr>
          <w:rFonts w:eastAsia="宋体"/>
          <w:lang w:eastAsia="zh-CN"/>
        </w:rPr>
        <w:t>on</w:t>
      </w:r>
    </w:p>
    <w:p w:rsidR="00C730C7" w:rsidRPr="0050135D" w:rsidRDefault="000B1DFD" w:rsidP="00C730C7">
      <w:pPr>
        <w:spacing w:beforeLines="50" w:before="156" w:afterLines="50" w:after="156"/>
        <w:jc w:val="both"/>
        <w:rPr>
          <w:b/>
          <w:i/>
        </w:rPr>
      </w:pPr>
      <w:r w:rsidRPr="000B1DFD">
        <w:rPr>
          <w:b/>
          <w:i/>
        </w:rPr>
        <w:t xml:space="preserve"> </w:t>
      </w:r>
      <w:r w:rsidR="00C730C7" w:rsidRPr="0050135D">
        <w:rPr>
          <w:rFonts w:eastAsiaTheme="minorEastAsia" w:hint="eastAsia"/>
          <w:b/>
          <w:i/>
          <w:lang w:eastAsia="zh-CN"/>
        </w:rPr>
        <w:t>P</w:t>
      </w:r>
      <w:r w:rsidR="00C730C7" w:rsidRPr="0050135D">
        <w:rPr>
          <w:rFonts w:eastAsiaTheme="minorEastAsia"/>
          <w:b/>
          <w:i/>
          <w:lang w:eastAsia="zh-CN"/>
        </w:rPr>
        <w:t xml:space="preserve">roposal1: </w:t>
      </w:r>
      <w:r w:rsidR="00C730C7" w:rsidRPr="0050135D">
        <w:rPr>
          <w:b/>
          <w:i/>
        </w:rPr>
        <w:t xml:space="preserve">If both the UE capabilities on PC1.5 and PC2 should be adopted on determining max duty cycle threshold, the </w:t>
      </w:r>
      <w:r w:rsidR="00C730C7">
        <w:rPr>
          <w:b/>
          <w:i/>
        </w:rPr>
        <w:t xml:space="preserve">condition to determine if fall back to PC2 should contain the </w:t>
      </w:r>
      <w:r w:rsidR="00C730C7" w:rsidRPr="00C730C7">
        <w:rPr>
          <w:b/>
          <w:i/>
        </w:rPr>
        <w:t>maxUplinkDutyCycle-PC1dot5-MPE-FR1</w:t>
      </w:r>
      <w:r w:rsidR="00C730C7">
        <w:rPr>
          <w:b/>
          <w:i/>
        </w:rPr>
        <w:t xml:space="preserve"> capability. </w:t>
      </w:r>
    </w:p>
    <w:p w:rsidR="00A85401" w:rsidRPr="00C730C7" w:rsidRDefault="00C730C7" w:rsidP="00C730C7">
      <w:pPr>
        <w:spacing w:beforeLines="50" w:before="156" w:after="0"/>
        <w:jc w:val="both"/>
        <w:rPr>
          <w:b/>
          <w:i/>
        </w:rPr>
      </w:pPr>
      <w:r w:rsidRPr="00C7568E">
        <w:rPr>
          <w:rFonts w:eastAsiaTheme="minorEastAsia" w:hint="eastAsia"/>
          <w:b/>
          <w:i/>
          <w:lang w:eastAsia="zh-CN"/>
        </w:rPr>
        <w:t>P</w:t>
      </w:r>
      <w:r w:rsidRPr="00C7568E">
        <w:rPr>
          <w:rFonts w:eastAsiaTheme="minorEastAsia"/>
          <w:b/>
          <w:i/>
          <w:lang w:eastAsia="zh-CN"/>
        </w:rPr>
        <w:t>roposal2:</w:t>
      </w:r>
      <w:r w:rsidRPr="00C7568E">
        <w:rPr>
          <w:b/>
          <w:i/>
        </w:rPr>
        <w:t xml:space="preserve"> </w:t>
      </w:r>
      <w:r>
        <w:rPr>
          <w:b/>
          <w:i/>
        </w:rPr>
        <w:t>For PC1.5 TDD+TDD EN-DC duty cycle solution, t</w:t>
      </w:r>
      <w:r w:rsidRPr="00C7568E">
        <w:rPr>
          <w:b/>
          <w:i/>
        </w:rPr>
        <w:t>he first “else if</w:t>
      </w:r>
      <w:r>
        <w:rPr>
          <w:b/>
          <w:i/>
        </w:rPr>
        <w:t xml:space="preserve">” </w:t>
      </w:r>
      <w:r w:rsidRPr="00C7568E">
        <w:rPr>
          <w:b/>
          <w:i/>
        </w:rPr>
        <w:t>conditional statement contains the second one and there will be such a situation that PC1.5 UE fall back to PC2(fall into the first “else if” statement) when we don’t expect it to, and this misunderstanding can be corrected by switching the positions of the two condit</w:t>
      </w:r>
      <w:r>
        <w:rPr>
          <w:b/>
          <w:i/>
        </w:rPr>
        <w:t xml:space="preserve">ional statements. </w:t>
      </w:r>
      <w:r w:rsidRPr="00C7568E">
        <w:rPr>
          <w:b/>
          <w:i/>
        </w:rPr>
        <w:t xml:space="preserve"> </w:t>
      </w:r>
    </w:p>
    <w:p w:rsidR="00B25FD3" w:rsidRPr="00C96D46" w:rsidRDefault="00B25FD3" w:rsidP="00FE6395">
      <w:pPr>
        <w:pStyle w:val="1"/>
        <w:rPr>
          <w:rFonts w:eastAsia="宋体"/>
          <w:lang w:eastAsia="zh-CN"/>
        </w:rPr>
      </w:pPr>
      <w:r w:rsidRPr="00C96D46">
        <w:t>References</w:t>
      </w:r>
    </w:p>
    <w:p w:rsidR="00D355FE" w:rsidRDefault="00C730C7" w:rsidP="000B1DFD">
      <w:pPr>
        <w:pStyle w:val="a7"/>
        <w:numPr>
          <w:ilvl w:val="0"/>
          <w:numId w:val="5"/>
        </w:numPr>
        <w:tabs>
          <w:tab w:val="left" w:pos="567"/>
        </w:tabs>
        <w:spacing w:after="0"/>
        <w:rPr>
          <w:sz w:val="22"/>
          <w:szCs w:val="22"/>
          <w:lang w:val="en-US" w:eastAsia="zh-CN"/>
        </w:rPr>
      </w:pPr>
      <w:r>
        <w:rPr>
          <w:sz w:val="22"/>
          <w:szCs w:val="22"/>
          <w:lang w:val="en-US" w:eastAsia="zh-CN"/>
        </w:rPr>
        <w:t>R4-2420329</w:t>
      </w:r>
      <w:r w:rsidR="00AF2F2E">
        <w:rPr>
          <w:sz w:val="22"/>
          <w:szCs w:val="22"/>
          <w:lang w:val="en-US" w:eastAsia="zh-CN"/>
        </w:rPr>
        <w:t>,</w:t>
      </w:r>
      <w:r w:rsidR="00D355FE">
        <w:rPr>
          <w:sz w:val="22"/>
          <w:szCs w:val="22"/>
          <w:lang w:val="en-US" w:eastAsia="zh-CN"/>
        </w:rPr>
        <w:t xml:space="preserve"> </w:t>
      </w:r>
      <w:r w:rsidR="000B1DFD" w:rsidRPr="000B1DFD">
        <w:rPr>
          <w:sz w:val="22"/>
          <w:szCs w:val="22"/>
          <w:lang w:val="en-US" w:eastAsia="zh-CN"/>
        </w:rPr>
        <w:t>WF on HPUE</w:t>
      </w:r>
      <w:r>
        <w:rPr>
          <w:sz w:val="22"/>
          <w:szCs w:val="22"/>
          <w:lang w:val="en-US" w:eastAsia="zh-CN"/>
        </w:rPr>
        <w:t xml:space="preserve"> for CA in TN</w:t>
      </w:r>
      <w:r w:rsidR="00733188">
        <w:rPr>
          <w:sz w:val="22"/>
          <w:szCs w:val="22"/>
          <w:lang w:val="en-US" w:eastAsia="zh-CN"/>
        </w:rPr>
        <w:t>,</w:t>
      </w:r>
      <w:r w:rsidR="00D355FE">
        <w:rPr>
          <w:sz w:val="22"/>
          <w:szCs w:val="22"/>
          <w:lang w:val="en-US" w:eastAsia="zh-CN"/>
        </w:rPr>
        <w:t xml:space="preserve"> </w:t>
      </w:r>
      <w:r>
        <w:rPr>
          <w:sz w:val="22"/>
          <w:szCs w:val="22"/>
          <w:lang w:val="en-US" w:eastAsia="zh-CN"/>
        </w:rPr>
        <w:t xml:space="preserve">Samsung, </w:t>
      </w:r>
      <w:r w:rsidR="00A21146">
        <w:rPr>
          <w:sz w:val="22"/>
          <w:szCs w:val="22"/>
          <w:lang w:val="en-US" w:eastAsia="zh-CN"/>
        </w:rPr>
        <w:t>RAN4#11</w:t>
      </w:r>
      <w:r>
        <w:rPr>
          <w:sz w:val="22"/>
          <w:szCs w:val="22"/>
          <w:lang w:val="en-US" w:eastAsia="zh-CN"/>
        </w:rPr>
        <w:t xml:space="preserve">3 </w:t>
      </w:r>
    </w:p>
    <w:p w:rsidR="00C730C7" w:rsidRDefault="001B6838" w:rsidP="001B6838">
      <w:pPr>
        <w:pStyle w:val="a7"/>
        <w:numPr>
          <w:ilvl w:val="0"/>
          <w:numId w:val="5"/>
        </w:numPr>
        <w:tabs>
          <w:tab w:val="left" w:pos="567"/>
        </w:tabs>
        <w:spacing w:after="0"/>
        <w:rPr>
          <w:sz w:val="22"/>
          <w:szCs w:val="22"/>
          <w:lang w:val="en-US" w:eastAsia="zh-CN"/>
        </w:rPr>
      </w:pPr>
      <w:r w:rsidRPr="001B6838">
        <w:rPr>
          <w:sz w:val="22"/>
          <w:szCs w:val="22"/>
          <w:lang w:val="en-US" w:eastAsia="zh-CN"/>
        </w:rPr>
        <w:t>R4-2419448</w:t>
      </w:r>
      <w:r>
        <w:rPr>
          <w:sz w:val="22"/>
          <w:szCs w:val="22"/>
          <w:lang w:val="en-US" w:eastAsia="zh-CN"/>
        </w:rPr>
        <w:t xml:space="preserve">, </w:t>
      </w:r>
      <w:r w:rsidRPr="001B6838">
        <w:rPr>
          <w:sz w:val="22"/>
          <w:szCs w:val="22"/>
          <w:lang w:val="en-US" w:eastAsia="zh-CN"/>
        </w:rPr>
        <w:t>Discussion on SAR solution for Rel-19 HPUE</w:t>
      </w:r>
      <w:r>
        <w:rPr>
          <w:sz w:val="22"/>
          <w:szCs w:val="22"/>
          <w:lang w:val="en-US" w:eastAsia="zh-CN"/>
        </w:rPr>
        <w:t>, Huawei, Hisilicon, RAN4#113</w:t>
      </w:r>
    </w:p>
    <w:p w:rsidR="001B6838" w:rsidRPr="00A85401" w:rsidRDefault="001B6838" w:rsidP="001B6838">
      <w:pPr>
        <w:pStyle w:val="a7"/>
        <w:numPr>
          <w:ilvl w:val="0"/>
          <w:numId w:val="5"/>
        </w:numPr>
        <w:tabs>
          <w:tab w:val="left" w:pos="567"/>
        </w:tabs>
        <w:spacing w:after="0"/>
        <w:rPr>
          <w:sz w:val="22"/>
          <w:szCs w:val="22"/>
          <w:lang w:val="en-US" w:eastAsia="zh-CN"/>
        </w:rPr>
      </w:pPr>
      <w:r w:rsidRPr="001B6838">
        <w:rPr>
          <w:sz w:val="22"/>
          <w:szCs w:val="22"/>
          <w:lang w:val="en-US" w:eastAsia="zh-CN"/>
        </w:rPr>
        <w:t>R4-2418744</w:t>
      </w:r>
      <w:r>
        <w:rPr>
          <w:sz w:val="22"/>
          <w:szCs w:val="22"/>
          <w:lang w:val="en-US" w:eastAsia="zh-CN"/>
        </w:rPr>
        <w:t xml:space="preserve">, </w:t>
      </w:r>
      <w:r w:rsidRPr="001B6838">
        <w:rPr>
          <w:sz w:val="22"/>
          <w:szCs w:val="22"/>
          <w:lang w:val="en-US" w:eastAsia="zh-CN"/>
        </w:rPr>
        <w:t>Further discussion on SAR solutions &amp; general MSD rules</w:t>
      </w:r>
      <w:r>
        <w:rPr>
          <w:sz w:val="22"/>
          <w:szCs w:val="22"/>
          <w:lang w:val="en-US" w:eastAsia="zh-CN"/>
        </w:rPr>
        <w:t>, CHTTL, RAN4#113</w:t>
      </w:r>
    </w:p>
    <w:sectPr w:rsidR="001B6838" w:rsidRPr="00A854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20D4" w:rsidRDefault="002D20D4" w:rsidP="0000138F">
      <w:pPr>
        <w:spacing w:after="0"/>
      </w:pPr>
      <w:r>
        <w:separator/>
      </w:r>
    </w:p>
  </w:endnote>
  <w:endnote w:type="continuationSeparator" w:id="0">
    <w:p w:rsidR="002D20D4" w:rsidRDefault="002D20D4" w:rsidP="000013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ingFang SC">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20D4" w:rsidRDefault="002D20D4" w:rsidP="0000138F">
      <w:pPr>
        <w:spacing w:after="0"/>
      </w:pPr>
      <w:r>
        <w:separator/>
      </w:r>
    </w:p>
  </w:footnote>
  <w:footnote w:type="continuationSeparator" w:id="0">
    <w:p w:rsidR="002D20D4" w:rsidRDefault="002D20D4" w:rsidP="0000138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D9E3C11"/>
    <w:multiLevelType w:val="hybridMultilevel"/>
    <w:tmpl w:val="2598A8A6"/>
    <w:lvl w:ilvl="0" w:tplc="7C0EC6FA">
      <w:start w:val="1"/>
      <w:numFmt w:val="upp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F1E4DA6"/>
    <w:multiLevelType w:val="hybridMultilevel"/>
    <w:tmpl w:val="4AB695F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343493F"/>
    <w:multiLevelType w:val="hybridMultilevel"/>
    <w:tmpl w:val="6A84E99E"/>
    <w:lvl w:ilvl="0" w:tplc="019C339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2"/>
  </w:num>
  <w:num w:numId="4">
    <w:abstractNumId w:val="8"/>
  </w:num>
  <w:num w:numId="5">
    <w:abstractNumId w:val="5"/>
  </w:num>
  <w:num w:numId="6">
    <w:abstractNumId w:val="7"/>
  </w:num>
  <w:num w:numId="7">
    <w:abstractNumId w:val="0"/>
  </w:num>
  <w:num w:numId="8">
    <w:abstractNumId w:val="4"/>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650"/>
    <w:rsid w:val="0000138F"/>
    <w:rsid w:val="00005469"/>
    <w:rsid w:val="000060C9"/>
    <w:rsid w:val="00014675"/>
    <w:rsid w:val="00032110"/>
    <w:rsid w:val="000450BA"/>
    <w:rsid w:val="0005609C"/>
    <w:rsid w:val="000570E4"/>
    <w:rsid w:val="00060B95"/>
    <w:rsid w:val="000646E8"/>
    <w:rsid w:val="0008233E"/>
    <w:rsid w:val="000829F1"/>
    <w:rsid w:val="0008427E"/>
    <w:rsid w:val="000A36F9"/>
    <w:rsid w:val="000B1DFD"/>
    <w:rsid w:val="000B1E94"/>
    <w:rsid w:val="000C48DB"/>
    <w:rsid w:val="000D2D18"/>
    <w:rsid w:val="000D3D9B"/>
    <w:rsid w:val="000D4AB5"/>
    <w:rsid w:val="000E0BD6"/>
    <w:rsid w:val="000E34A5"/>
    <w:rsid w:val="000E4A91"/>
    <w:rsid w:val="00103020"/>
    <w:rsid w:val="0011628C"/>
    <w:rsid w:val="0012497A"/>
    <w:rsid w:val="00131465"/>
    <w:rsid w:val="00134A02"/>
    <w:rsid w:val="00145368"/>
    <w:rsid w:val="00155A40"/>
    <w:rsid w:val="00161ABE"/>
    <w:rsid w:val="00181F46"/>
    <w:rsid w:val="00183A72"/>
    <w:rsid w:val="001A56AF"/>
    <w:rsid w:val="001B287D"/>
    <w:rsid w:val="001B344E"/>
    <w:rsid w:val="001B6838"/>
    <w:rsid w:val="001B6CCA"/>
    <w:rsid w:val="001C6FC3"/>
    <w:rsid w:val="001E01A6"/>
    <w:rsid w:val="001E0617"/>
    <w:rsid w:val="001F32EA"/>
    <w:rsid w:val="001F3FDA"/>
    <w:rsid w:val="00203DAB"/>
    <w:rsid w:val="002050C3"/>
    <w:rsid w:val="002060FE"/>
    <w:rsid w:val="00225DD9"/>
    <w:rsid w:val="002312DE"/>
    <w:rsid w:val="00232573"/>
    <w:rsid w:val="0023600E"/>
    <w:rsid w:val="00250677"/>
    <w:rsid w:val="00257E0B"/>
    <w:rsid w:val="00262D5D"/>
    <w:rsid w:val="00265B0F"/>
    <w:rsid w:val="002722E5"/>
    <w:rsid w:val="0029313D"/>
    <w:rsid w:val="00294BB6"/>
    <w:rsid w:val="002A0BFE"/>
    <w:rsid w:val="002C6D20"/>
    <w:rsid w:val="002C70B1"/>
    <w:rsid w:val="002D20D4"/>
    <w:rsid w:val="002D4215"/>
    <w:rsid w:val="002D71F5"/>
    <w:rsid w:val="002E6252"/>
    <w:rsid w:val="002E78E5"/>
    <w:rsid w:val="002F1DEB"/>
    <w:rsid w:val="00302BC3"/>
    <w:rsid w:val="003044B3"/>
    <w:rsid w:val="003216E2"/>
    <w:rsid w:val="00331F6B"/>
    <w:rsid w:val="003331A8"/>
    <w:rsid w:val="00343D75"/>
    <w:rsid w:val="00347AA1"/>
    <w:rsid w:val="003532E6"/>
    <w:rsid w:val="003577F1"/>
    <w:rsid w:val="00360A72"/>
    <w:rsid w:val="00363762"/>
    <w:rsid w:val="00365982"/>
    <w:rsid w:val="00373824"/>
    <w:rsid w:val="00376776"/>
    <w:rsid w:val="00382E1C"/>
    <w:rsid w:val="00387511"/>
    <w:rsid w:val="003C5450"/>
    <w:rsid w:val="003D598E"/>
    <w:rsid w:val="003D7442"/>
    <w:rsid w:val="003E488D"/>
    <w:rsid w:val="003F24D7"/>
    <w:rsid w:val="003F5CEA"/>
    <w:rsid w:val="00400D3A"/>
    <w:rsid w:val="0041323B"/>
    <w:rsid w:val="00414A5C"/>
    <w:rsid w:val="00422D54"/>
    <w:rsid w:val="00441CD9"/>
    <w:rsid w:val="00464452"/>
    <w:rsid w:val="00467F67"/>
    <w:rsid w:val="004707B3"/>
    <w:rsid w:val="00470D4B"/>
    <w:rsid w:val="00492F0C"/>
    <w:rsid w:val="00496668"/>
    <w:rsid w:val="004C6273"/>
    <w:rsid w:val="004C6B52"/>
    <w:rsid w:val="004E3889"/>
    <w:rsid w:val="004F06F6"/>
    <w:rsid w:val="004F2247"/>
    <w:rsid w:val="004F56AD"/>
    <w:rsid w:val="004F7C95"/>
    <w:rsid w:val="0050135D"/>
    <w:rsid w:val="00503EE7"/>
    <w:rsid w:val="0050699E"/>
    <w:rsid w:val="00514F41"/>
    <w:rsid w:val="00515849"/>
    <w:rsid w:val="005215E5"/>
    <w:rsid w:val="00540A87"/>
    <w:rsid w:val="00551010"/>
    <w:rsid w:val="00581261"/>
    <w:rsid w:val="0058255E"/>
    <w:rsid w:val="00582A1F"/>
    <w:rsid w:val="00582D4F"/>
    <w:rsid w:val="005834BB"/>
    <w:rsid w:val="005A722B"/>
    <w:rsid w:val="005C1796"/>
    <w:rsid w:val="005F57C7"/>
    <w:rsid w:val="00611215"/>
    <w:rsid w:val="00613A0C"/>
    <w:rsid w:val="00614E8A"/>
    <w:rsid w:val="00626BE1"/>
    <w:rsid w:val="006303C7"/>
    <w:rsid w:val="00640DE3"/>
    <w:rsid w:val="00642787"/>
    <w:rsid w:val="0065633B"/>
    <w:rsid w:val="00663F95"/>
    <w:rsid w:val="00677D51"/>
    <w:rsid w:val="00697215"/>
    <w:rsid w:val="006B50C0"/>
    <w:rsid w:val="006D3047"/>
    <w:rsid w:val="006D50D2"/>
    <w:rsid w:val="006E4ECA"/>
    <w:rsid w:val="00702901"/>
    <w:rsid w:val="00702B35"/>
    <w:rsid w:val="0070418F"/>
    <w:rsid w:val="00720855"/>
    <w:rsid w:val="007265B6"/>
    <w:rsid w:val="00731077"/>
    <w:rsid w:val="00733188"/>
    <w:rsid w:val="00747366"/>
    <w:rsid w:val="0075022B"/>
    <w:rsid w:val="00755A03"/>
    <w:rsid w:val="00761C98"/>
    <w:rsid w:val="00771C4A"/>
    <w:rsid w:val="00772002"/>
    <w:rsid w:val="0077501A"/>
    <w:rsid w:val="00775FFC"/>
    <w:rsid w:val="00794BDC"/>
    <w:rsid w:val="00796280"/>
    <w:rsid w:val="007B26C5"/>
    <w:rsid w:val="007B2C96"/>
    <w:rsid w:val="007C357B"/>
    <w:rsid w:val="007D3C5A"/>
    <w:rsid w:val="007D4F11"/>
    <w:rsid w:val="007D5DA5"/>
    <w:rsid w:val="007D685D"/>
    <w:rsid w:val="007E20CC"/>
    <w:rsid w:val="007E45E3"/>
    <w:rsid w:val="007E7502"/>
    <w:rsid w:val="007F4BF1"/>
    <w:rsid w:val="00804EB1"/>
    <w:rsid w:val="008438E3"/>
    <w:rsid w:val="00845A17"/>
    <w:rsid w:val="0085485E"/>
    <w:rsid w:val="00856BF9"/>
    <w:rsid w:val="008772EE"/>
    <w:rsid w:val="008841BB"/>
    <w:rsid w:val="008A5AC6"/>
    <w:rsid w:val="008C2767"/>
    <w:rsid w:val="008E1BBB"/>
    <w:rsid w:val="008E61BA"/>
    <w:rsid w:val="008F67D0"/>
    <w:rsid w:val="008F67DD"/>
    <w:rsid w:val="0090692E"/>
    <w:rsid w:val="00916C0C"/>
    <w:rsid w:val="009173BD"/>
    <w:rsid w:val="00921652"/>
    <w:rsid w:val="00951507"/>
    <w:rsid w:val="009516CA"/>
    <w:rsid w:val="00957AA2"/>
    <w:rsid w:val="00965342"/>
    <w:rsid w:val="009655A3"/>
    <w:rsid w:val="009729F1"/>
    <w:rsid w:val="00984BA8"/>
    <w:rsid w:val="00995B4C"/>
    <w:rsid w:val="009A16D3"/>
    <w:rsid w:val="009A499A"/>
    <w:rsid w:val="009A6AAC"/>
    <w:rsid w:val="009B27D7"/>
    <w:rsid w:val="009B4935"/>
    <w:rsid w:val="009C1F1E"/>
    <w:rsid w:val="009D381D"/>
    <w:rsid w:val="009D62B2"/>
    <w:rsid w:val="009E35C1"/>
    <w:rsid w:val="009F551C"/>
    <w:rsid w:val="00A00DE2"/>
    <w:rsid w:val="00A152BC"/>
    <w:rsid w:val="00A20B05"/>
    <w:rsid w:val="00A20F1D"/>
    <w:rsid w:val="00A21146"/>
    <w:rsid w:val="00A21164"/>
    <w:rsid w:val="00A244B6"/>
    <w:rsid w:val="00A26FD0"/>
    <w:rsid w:val="00A324CB"/>
    <w:rsid w:val="00A52D36"/>
    <w:rsid w:val="00A52FEA"/>
    <w:rsid w:val="00A65A39"/>
    <w:rsid w:val="00A71D54"/>
    <w:rsid w:val="00A7244E"/>
    <w:rsid w:val="00A75FB4"/>
    <w:rsid w:val="00A76D6B"/>
    <w:rsid w:val="00A82EBB"/>
    <w:rsid w:val="00A85401"/>
    <w:rsid w:val="00A921AC"/>
    <w:rsid w:val="00A943B1"/>
    <w:rsid w:val="00AB0650"/>
    <w:rsid w:val="00AC21AA"/>
    <w:rsid w:val="00AC2806"/>
    <w:rsid w:val="00AC4AF7"/>
    <w:rsid w:val="00AC7930"/>
    <w:rsid w:val="00AD2D76"/>
    <w:rsid w:val="00AE5617"/>
    <w:rsid w:val="00AF2F2E"/>
    <w:rsid w:val="00AF71F4"/>
    <w:rsid w:val="00B11A9F"/>
    <w:rsid w:val="00B2185D"/>
    <w:rsid w:val="00B2262C"/>
    <w:rsid w:val="00B24000"/>
    <w:rsid w:val="00B25FD3"/>
    <w:rsid w:val="00B3409B"/>
    <w:rsid w:val="00B36C33"/>
    <w:rsid w:val="00B46CB4"/>
    <w:rsid w:val="00B47962"/>
    <w:rsid w:val="00B537D7"/>
    <w:rsid w:val="00B53C8A"/>
    <w:rsid w:val="00B6244E"/>
    <w:rsid w:val="00B62BE4"/>
    <w:rsid w:val="00B72845"/>
    <w:rsid w:val="00B809DC"/>
    <w:rsid w:val="00B86815"/>
    <w:rsid w:val="00B97C25"/>
    <w:rsid w:val="00BA47AA"/>
    <w:rsid w:val="00BA684F"/>
    <w:rsid w:val="00BB4569"/>
    <w:rsid w:val="00BC0F4C"/>
    <w:rsid w:val="00BC4FF8"/>
    <w:rsid w:val="00BC6CA8"/>
    <w:rsid w:val="00BD574D"/>
    <w:rsid w:val="00BE22EF"/>
    <w:rsid w:val="00BF2255"/>
    <w:rsid w:val="00BF4D58"/>
    <w:rsid w:val="00BF56A1"/>
    <w:rsid w:val="00C078C3"/>
    <w:rsid w:val="00C11739"/>
    <w:rsid w:val="00C22F78"/>
    <w:rsid w:val="00C24A78"/>
    <w:rsid w:val="00C312C3"/>
    <w:rsid w:val="00C5237F"/>
    <w:rsid w:val="00C63D4F"/>
    <w:rsid w:val="00C730C7"/>
    <w:rsid w:val="00C749DD"/>
    <w:rsid w:val="00C7568E"/>
    <w:rsid w:val="00C938F7"/>
    <w:rsid w:val="00C96C97"/>
    <w:rsid w:val="00CA250C"/>
    <w:rsid w:val="00CA30E4"/>
    <w:rsid w:val="00CA420A"/>
    <w:rsid w:val="00CA6919"/>
    <w:rsid w:val="00CC68FD"/>
    <w:rsid w:val="00CD414E"/>
    <w:rsid w:val="00CE1D9E"/>
    <w:rsid w:val="00CF49E6"/>
    <w:rsid w:val="00CF5B42"/>
    <w:rsid w:val="00D10E28"/>
    <w:rsid w:val="00D25C9B"/>
    <w:rsid w:val="00D311FC"/>
    <w:rsid w:val="00D32994"/>
    <w:rsid w:val="00D355FE"/>
    <w:rsid w:val="00D35BE5"/>
    <w:rsid w:val="00D36E41"/>
    <w:rsid w:val="00D434E5"/>
    <w:rsid w:val="00D701F0"/>
    <w:rsid w:val="00D91533"/>
    <w:rsid w:val="00D94F27"/>
    <w:rsid w:val="00DA398C"/>
    <w:rsid w:val="00DA3B7A"/>
    <w:rsid w:val="00DA59EE"/>
    <w:rsid w:val="00DB1B8F"/>
    <w:rsid w:val="00DB795C"/>
    <w:rsid w:val="00DD4EDB"/>
    <w:rsid w:val="00DD7C73"/>
    <w:rsid w:val="00DE44C8"/>
    <w:rsid w:val="00DE7CCC"/>
    <w:rsid w:val="00DF2116"/>
    <w:rsid w:val="00DF4883"/>
    <w:rsid w:val="00E01372"/>
    <w:rsid w:val="00E10B8D"/>
    <w:rsid w:val="00E17A38"/>
    <w:rsid w:val="00E452A1"/>
    <w:rsid w:val="00E45306"/>
    <w:rsid w:val="00E508F4"/>
    <w:rsid w:val="00E548DD"/>
    <w:rsid w:val="00E55067"/>
    <w:rsid w:val="00E632FE"/>
    <w:rsid w:val="00E73B18"/>
    <w:rsid w:val="00E81582"/>
    <w:rsid w:val="00E828E9"/>
    <w:rsid w:val="00E84911"/>
    <w:rsid w:val="00EA0815"/>
    <w:rsid w:val="00EB7383"/>
    <w:rsid w:val="00ED409E"/>
    <w:rsid w:val="00ED4D1E"/>
    <w:rsid w:val="00ED6EEE"/>
    <w:rsid w:val="00EE23DB"/>
    <w:rsid w:val="00F07ADA"/>
    <w:rsid w:val="00F2669F"/>
    <w:rsid w:val="00F463C0"/>
    <w:rsid w:val="00F77F58"/>
    <w:rsid w:val="00F934D3"/>
    <w:rsid w:val="00F9629F"/>
    <w:rsid w:val="00F97CB6"/>
    <w:rsid w:val="00FA7565"/>
    <w:rsid w:val="00FB0848"/>
    <w:rsid w:val="00FB488A"/>
    <w:rsid w:val="00FC0125"/>
    <w:rsid w:val="00FC2615"/>
    <w:rsid w:val="00FC4DD7"/>
    <w:rsid w:val="00FC7DBF"/>
    <w:rsid w:val="00FE1814"/>
    <w:rsid w:val="00FE6395"/>
    <w:rsid w:val="00FF22C9"/>
    <w:rsid w:val="00FF3472"/>
    <w:rsid w:val="00FF7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5447D13-E8D4-4696-AC18-AF459C049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065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AB065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0"/>
    <w:qFormat/>
    <w:rsid w:val="00AB0650"/>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0"/>
    <w:qFormat/>
    <w:rsid w:val="00AB065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B0650"/>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AB0650"/>
    <w:pPr>
      <w:numPr>
        <w:ilvl w:val="5"/>
      </w:numPr>
      <w:outlineLvl w:val="4"/>
    </w:pPr>
    <w:rPr>
      <w:sz w:val="22"/>
    </w:rPr>
  </w:style>
  <w:style w:type="paragraph" w:styleId="6">
    <w:name w:val="heading 6"/>
    <w:aliases w:val="T1,Header 6"/>
    <w:basedOn w:val="a"/>
    <w:next w:val="a"/>
    <w:link w:val="60"/>
    <w:qFormat/>
    <w:rsid w:val="00B25FD3"/>
    <w:pPr>
      <w:numPr>
        <w:ilvl w:val="4"/>
        <w:numId w:val="2"/>
      </w:numPr>
      <w:overflowPunct/>
      <w:autoSpaceDE/>
      <w:autoSpaceDN/>
      <w:adjustRightInd/>
      <w:spacing w:before="120" w:beforeAutospacing="1" w:afterLines="100" w:after="100"/>
      <w:ind w:left="1985" w:hanging="1985"/>
      <w:textAlignment w:val="auto"/>
      <w:outlineLvl w:val="5"/>
    </w:pPr>
    <w:rPr>
      <w:rFonts w:ascii="Arial" w:eastAsia="Arial" w:hAnsi="Arial"/>
    </w:rPr>
  </w:style>
  <w:style w:type="paragraph" w:styleId="7">
    <w:name w:val="heading 7"/>
    <w:basedOn w:val="a"/>
    <w:next w:val="a"/>
    <w:link w:val="70"/>
    <w:qFormat/>
    <w:rsid w:val="00AB0650"/>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AB0650"/>
    <w:pPr>
      <w:numPr>
        <w:ilvl w:val="7"/>
      </w:numPr>
      <w:outlineLvl w:val="7"/>
    </w:pPr>
  </w:style>
  <w:style w:type="paragraph" w:styleId="9">
    <w:name w:val="heading 9"/>
    <w:basedOn w:val="8"/>
    <w:next w:val="a"/>
    <w:link w:val="90"/>
    <w:qFormat/>
    <w:rsid w:val="00AB065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AB0650"/>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AB0650"/>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B0650"/>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B0650"/>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AB0650"/>
    <w:rPr>
      <w:rFonts w:ascii="Arial" w:eastAsia="Arial" w:hAnsi="Arial" w:cs="Times New Roman"/>
      <w:kern w:val="0"/>
      <w:sz w:val="22"/>
      <w:szCs w:val="20"/>
      <w:lang w:val="en-GB" w:eastAsia="en-US"/>
    </w:rPr>
  </w:style>
  <w:style w:type="character" w:customStyle="1" w:styleId="70">
    <w:name w:val="标题 7 字符"/>
    <w:basedOn w:val="a0"/>
    <w:link w:val="7"/>
    <w:rsid w:val="00AB0650"/>
    <w:rPr>
      <w:rFonts w:ascii="Arial" w:eastAsia="Arial" w:hAnsi="Arial" w:cs="Times New Roman"/>
      <w:kern w:val="0"/>
      <w:sz w:val="20"/>
      <w:szCs w:val="20"/>
      <w:lang w:val="en-GB" w:eastAsia="en-US"/>
    </w:rPr>
  </w:style>
  <w:style w:type="character" w:customStyle="1" w:styleId="80">
    <w:name w:val="标题 8 字符"/>
    <w:basedOn w:val="a0"/>
    <w:link w:val="8"/>
    <w:rsid w:val="00AB0650"/>
    <w:rPr>
      <w:rFonts w:ascii="Arial" w:eastAsia="Arial" w:hAnsi="Arial" w:cs="Times New Roman"/>
      <w:kern w:val="0"/>
      <w:sz w:val="36"/>
      <w:szCs w:val="20"/>
      <w:lang w:val="en-GB" w:eastAsia="en-US"/>
    </w:rPr>
  </w:style>
  <w:style w:type="character" w:customStyle="1" w:styleId="90">
    <w:name w:val="标题 9 字符"/>
    <w:basedOn w:val="a0"/>
    <w:link w:val="9"/>
    <w:rsid w:val="00AB0650"/>
    <w:rPr>
      <w:rFonts w:ascii="Arial" w:eastAsia="Arial"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AB0650"/>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qFormat/>
    <w:rsid w:val="00AB0650"/>
    <w:rPr>
      <w:rFonts w:ascii="Arial" w:eastAsia="Times New Roman" w:hAnsi="Arial" w:cs="Times New Roman"/>
      <w:b/>
      <w:noProof/>
      <w:kern w:val="0"/>
      <w:sz w:val="18"/>
      <w:szCs w:val="20"/>
      <w:lang w:val="en-GB" w:eastAsia="en-US"/>
    </w:rPr>
  </w:style>
  <w:style w:type="character" w:customStyle="1" w:styleId="60">
    <w:name w:val="标题 6 字符"/>
    <w:aliases w:val="T1 字符,Header 6 字符"/>
    <w:basedOn w:val="a0"/>
    <w:link w:val="6"/>
    <w:rsid w:val="00B25FD3"/>
    <w:rPr>
      <w:rFonts w:ascii="Arial" w:eastAsia="Arial" w:hAnsi="Arial" w:cs="Times New Roman"/>
      <w:kern w:val="0"/>
      <w:sz w:val="20"/>
      <w:szCs w:val="20"/>
      <w:lang w:val="en-GB" w:eastAsia="en-US"/>
    </w:rPr>
  </w:style>
  <w:style w:type="paragraph" w:styleId="a5">
    <w:name w:val="footer"/>
    <w:basedOn w:val="a"/>
    <w:link w:val="a6"/>
    <w:uiPriority w:val="99"/>
    <w:unhideWhenUsed/>
    <w:rsid w:val="0000138F"/>
    <w:pPr>
      <w:tabs>
        <w:tab w:val="center" w:pos="4153"/>
        <w:tab w:val="right" w:pos="8306"/>
      </w:tabs>
      <w:snapToGrid w:val="0"/>
    </w:pPr>
    <w:rPr>
      <w:sz w:val="18"/>
      <w:szCs w:val="18"/>
    </w:rPr>
  </w:style>
  <w:style w:type="character" w:customStyle="1" w:styleId="a6">
    <w:name w:val="页脚 字符"/>
    <w:basedOn w:val="a0"/>
    <w:link w:val="a5"/>
    <w:uiPriority w:val="99"/>
    <w:rsid w:val="0000138F"/>
    <w:rPr>
      <w:rFonts w:ascii="Times New Roman" w:eastAsia="Times New Roman" w:hAnsi="Times New Roman" w:cs="Times New Roman"/>
      <w:kern w:val="0"/>
      <w:sz w:val="18"/>
      <w:szCs w:val="18"/>
      <w:lang w:val="en-GB" w:eastAsia="en-US"/>
    </w:rPr>
  </w:style>
  <w:style w:type="paragraph" w:styleId="a7">
    <w:name w:val="List Paragraph"/>
    <w:aliases w:val="- Bullets,목록 단락,Lista1,?? ??,?????,????,列出段落1,中等深浅网格 1 - 着色 21,¥¡¡¡¡ì¬º¥¹¥È¶ÎÂä,ÁÐ³ö¶ÎÂä,列表段落1,—ño’i—Ž,¥ê¥¹¥È¶ÎÂä,1st level - Bullet List Paragraph,Lettre d'introduction,Paragrafo elenco,Normal bullet 2,Bullet list,목록단락,列,列表段落11,リスト段落,列表1"/>
    <w:basedOn w:val="a"/>
    <w:link w:val="a8"/>
    <w:uiPriority w:val="34"/>
    <w:qFormat/>
    <w:rsid w:val="00B11A9F"/>
    <w:pPr>
      <w:overflowPunct/>
      <w:autoSpaceDE/>
      <w:autoSpaceDN/>
      <w:adjustRightInd/>
      <w:ind w:left="720"/>
      <w:contextualSpacing/>
      <w:textAlignment w:val="auto"/>
    </w:pPr>
    <w:rPr>
      <w:rFonts w:eastAsiaTheme="minorEastAsia"/>
    </w:rPr>
  </w:style>
  <w:style w:type="character" w:customStyle="1" w:styleId="a8">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B11A9F"/>
    <w:rPr>
      <w:rFonts w:ascii="Times New Roman" w:hAnsi="Times New Roman" w:cs="Times New Roman"/>
      <w:kern w:val="0"/>
      <w:sz w:val="20"/>
      <w:szCs w:val="20"/>
      <w:lang w:val="en-GB" w:eastAsia="en-US"/>
    </w:rPr>
  </w:style>
  <w:style w:type="table" w:styleId="a9">
    <w:name w:val="Table Grid"/>
    <w:basedOn w:val="a1"/>
    <w:uiPriority w:val="39"/>
    <w:rsid w:val="00582D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0646E8"/>
    <w:rPr>
      <w:color w:val="808080"/>
    </w:rPr>
  </w:style>
  <w:style w:type="paragraph" w:styleId="ab">
    <w:name w:val="Balloon Text"/>
    <w:basedOn w:val="a"/>
    <w:link w:val="ac"/>
    <w:uiPriority w:val="99"/>
    <w:semiHidden/>
    <w:unhideWhenUsed/>
    <w:rsid w:val="00CC68FD"/>
    <w:pPr>
      <w:spacing w:after="0"/>
    </w:pPr>
    <w:rPr>
      <w:sz w:val="18"/>
      <w:szCs w:val="18"/>
    </w:rPr>
  </w:style>
  <w:style w:type="character" w:customStyle="1" w:styleId="ac">
    <w:name w:val="批注框文本 字符"/>
    <w:basedOn w:val="a0"/>
    <w:link w:val="ab"/>
    <w:uiPriority w:val="99"/>
    <w:semiHidden/>
    <w:rsid w:val="00CC68FD"/>
    <w:rPr>
      <w:rFonts w:ascii="Times New Roman" w:eastAsia="Times New Roman" w:hAnsi="Times New Roman" w:cs="Times New Roman"/>
      <w:kern w:val="0"/>
      <w:sz w:val="18"/>
      <w:szCs w:val="18"/>
      <w:lang w:val="en-GB" w:eastAsia="en-US"/>
    </w:rPr>
  </w:style>
  <w:style w:type="character" w:customStyle="1" w:styleId="CRCoverPageChar">
    <w:name w:val="CR Cover Page Char"/>
    <w:link w:val="CRCoverPage"/>
    <w:qFormat/>
    <w:locked/>
    <w:rsid w:val="00FE1814"/>
    <w:rPr>
      <w:rFonts w:ascii="Arial" w:hAnsi="Arial" w:cs="Arial"/>
      <w:lang w:val="en-GB" w:eastAsia="en-US"/>
    </w:rPr>
  </w:style>
  <w:style w:type="paragraph" w:customStyle="1" w:styleId="CRCoverPage">
    <w:name w:val="CR Cover Page"/>
    <w:link w:val="CRCoverPageChar"/>
    <w:qFormat/>
    <w:rsid w:val="00FE1814"/>
    <w:pPr>
      <w:spacing w:after="120"/>
    </w:pPr>
    <w:rPr>
      <w:rFonts w:ascii="Arial" w:hAnsi="Arial" w:cs="Arial"/>
      <w:lang w:val="en-GB" w:eastAsia="en-US"/>
    </w:rPr>
  </w:style>
  <w:style w:type="paragraph" w:customStyle="1" w:styleId="B1">
    <w:name w:val="B1"/>
    <w:basedOn w:val="ad"/>
    <w:link w:val="B1Char"/>
    <w:qFormat/>
    <w:rsid w:val="006E4ECA"/>
    <w:pPr>
      <w:ind w:left="568" w:firstLineChars="0" w:hanging="284"/>
      <w:contextualSpacing w:val="0"/>
    </w:pPr>
    <w:rPr>
      <w:lang w:eastAsia="en-GB"/>
    </w:rPr>
  </w:style>
  <w:style w:type="paragraph" w:styleId="ad">
    <w:name w:val="List"/>
    <w:basedOn w:val="a"/>
    <w:uiPriority w:val="99"/>
    <w:semiHidden/>
    <w:unhideWhenUsed/>
    <w:rsid w:val="006E4ECA"/>
    <w:pPr>
      <w:ind w:left="200" w:hangingChars="200" w:hanging="200"/>
      <w:contextualSpacing/>
    </w:pPr>
  </w:style>
  <w:style w:type="paragraph" w:customStyle="1" w:styleId="B2">
    <w:name w:val="B2"/>
    <w:basedOn w:val="21"/>
    <w:link w:val="B2Char"/>
    <w:qFormat/>
    <w:rsid w:val="006B50C0"/>
    <w:pPr>
      <w:ind w:leftChars="0" w:left="851" w:firstLineChars="0" w:hanging="284"/>
      <w:contextualSpacing w:val="0"/>
    </w:pPr>
    <w:rPr>
      <w:lang w:eastAsia="en-GB"/>
    </w:rPr>
  </w:style>
  <w:style w:type="character" w:customStyle="1" w:styleId="B1Char">
    <w:name w:val="B1 Char"/>
    <w:link w:val="B1"/>
    <w:qFormat/>
    <w:rsid w:val="006B50C0"/>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6B50C0"/>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6B50C0"/>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385840">
      <w:bodyDiv w:val="1"/>
      <w:marLeft w:val="0"/>
      <w:marRight w:val="0"/>
      <w:marTop w:val="0"/>
      <w:marBottom w:val="0"/>
      <w:divBdr>
        <w:top w:val="none" w:sz="0" w:space="0" w:color="auto"/>
        <w:left w:val="none" w:sz="0" w:space="0" w:color="auto"/>
        <w:bottom w:val="none" w:sz="0" w:space="0" w:color="auto"/>
        <w:right w:val="none" w:sz="0" w:space="0" w:color="auto"/>
      </w:divBdr>
    </w:div>
    <w:div w:id="257834493">
      <w:bodyDiv w:val="1"/>
      <w:marLeft w:val="0"/>
      <w:marRight w:val="0"/>
      <w:marTop w:val="0"/>
      <w:marBottom w:val="0"/>
      <w:divBdr>
        <w:top w:val="none" w:sz="0" w:space="0" w:color="auto"/>
        <w:left w:val="none" w:sz="0" w:space="0" w:color="auto"/>
        <w:bottom w:val="none" w:sz="0" w:space="0" w:color="auto"/>
        <w:right w:val="none" w:sz="0" w:space="0" w:color="auto"/>
      </w:divBdr>
    </w:div>
    <w:div w:id="397674977">
      <w:bodyDiv w:val="1"/>
      <w:marLeft w:val="0"/>
      <w:marRight w:val="0"/>
      <w:marTop w:val="0"/>
      <w:marBottom w:val="0"/>
      <w:divBdr>
        <w:top w:val="none" w:sz="0" w:space="0" w:color="auto"/>
        <w:left w:val="none" w:sz="0" w:space="0" w:color="auto"/>
        <w:bottom w:val="none" w:sz="0" w:space="0" w:color="auto"/>
        <w:right w:val="none" w:sz="0" w:space="0" w:color="auto"/>
      </w:divBdr>
    </w:div>
    <w:div w:id="421880030">
      <w:bodyDiv w:val="1"/>
      <w:marLeft w:val="0"/>
      <w:marRight w:val="0"/>
      <w:marTop w:val="0"/>
      <w:marBottom w:val="0"/>
      <w:divBdr>
        <w:top w:val="none" w:sz="0" w:space="0" w:color="auto"/>
        <w:left w:val="none" w:sz="0" w:space="0" w:color="auto"/>
        <w:bottom w:val="none" w:sz="0" w:space="0" w:color="auto"/>
        <w:right w:val="none" w:sz="0" w:space="0" w:color="auto"/>
      </w:divBdr>
    </w:div>
    <w:div w:id="764418666">
      <w:bodyDiv w:val="1"/>
      <w:marLeft w:val="0"/>
      <w:marRight w:val="0"/>
      <w:marTop w:val="0"/>
      <w:marBottom w:val="0"/>
      <w:divBdr>
        <w:top w:val="none" w:sz="0" w:space="0" w:color="auto"/>
        <w:left w:val="none" w:sz="0" w:space="0" w:color="auto"/>
        <w:bottom w:val="none" w:sz="0" w:space="0" w:color="auto"/>
        <w:right w:val="none" w:sz="0" w:space="0" w:color="auto"/>
      </w:divBdr>
    </w:div>
    <w:div w:id="768310827">
      <w:bodyDiv w:val="1"/>
      <w:marLeft w:val="0"/>
      <w:marRight w:val="0"/>
      <w:marTop w:val="0"/>
      <w:marBottom w:val="0"/>
      <w:divBdr>
        <w:top w:val="none" w:sz="0" w:space="0" w:color="auto"/>
        <w:left w:val="none" w:sz="0" w:space="0" w:color="auto"/>
        <w:bottom w:val="none" w:sz="0" w:space="0" w:color="auto"/>
        <w:right w:val="none" w:sz="0" w:space="0" w:color="auto"/>
      </w:divBdr>
    </w:div>
    <w:div w:id="833448249">
      <w:bodyDiv w:val="1"/>
      <w:marLeft w:val="0"/>
      <w:marRight w:val="0"/>
      <w:marTop w:val="0"/>
      <w:marBottom w:val="0"/>
      <w:divBdr>
        <w:top w:val="none" w:sz="0" w:space="0" w:color="auto"/>
        <w:left w:val="none" w:sz="0" w:space="0" w:color="auto"/>
        <w:bottom w:val="none" w:sz="0" w:space="0" w:color="auto"/>
        <w:right w:val="none" w:sz="0" w:space="0" w:color="auto"/>
      </w:divBdr>
    </w:div>
    <w:div w:id="937326194">
      <w:bodyDiv w:val="1"/>
      <w:marLeft w:val="0"/>
      <w:marRight w:val="0"/>
      <w:marTop w:val="0"/>
      <w:marBottom w:val="0"/>
      <w:divBdr>
        <w:top w:val="none" w:sz="0" w:space="0" w:color="auto"/>
        <w:left w:val="none" w:sz="0" w:space="0" w:color="auto"/>
        <w:bottom w:val="none" w:sz="0" w:space="0" w:color="auto"/>
        <w:right w:val="none" w:sz="0" w:space="0" w:color="auto"/>
      </w:divBdr>
    </w:div>
    <w:div w:id="1063140476">
      <w:bodyDiv w:val="1"/>
      <w:marLeft w:val="0"/>
      <w:marRight w:val="0"/>
      <w:marTop w:val="0"/>
      <w:marBottom w:val="0"/>
      <w:divBdr>
        <w:top w:val="none" w:sz="0" w:space="0" w:color="auto"/>
        <w:left w:val="none" w:sz="0" w:space="0" w:color="auto"/>
        <w:bottom w:val="none" w:sz="0" w:space="0" w:color="auto"/>
        <w:right w:val="none" w:sz="0" w:space="0" w:color="auto"/>
      </w:divBdr>
    </w:div>
    <w:div w:id="1094858211">
      <w:bodyDiv w:val="1"/>
      <w:marLeft w:val="0"/>
      <w:marRight w:val="0"/>
      <w:marTop w:val="0"/>
      <w:marBottom w:val="0"/>
      <w:divBdr>
        <w:top w:val="none" w:sz="0" w:space="0" w:color="auto"/>
        <w:left w:val="none" w:sz="0" w:space="0" w:color="auto"/>
        <w:bottom w:val="none" w:sz="0" w:space="0" w:color="auto"/>
        <w:right w:val="none" w:sz="0" w:space="0" w:color="auto"/>
      </w:divBdr>
    </w:div>
    <w:div w:id="1111053972">
      <w:bodyDiv w:val="1"/>
      <w:marLeft w:val="0"/>
      <w:marRight w:val="0"/>
      <w:marTop w:val="0"/>
      <w:marBottom w:val="0"/>
      <w:divBdr>
        <w:top w:val="none" w:sz="0" w:space="0" w:color="auto"/>
        <w:left w:val="none" w:sz="0" w:space="0" w:color="auto"/>
        <w:bottom w:val="none" w:sz="0" w:space="0" w:color="auto"/>
        <w:right w:val="none" w:sz="0" w:space="0" w:color="auto"/>
      </w:divBdr>
    </w:div>
    <w:div w:id="1678341613">
      <w:bodyDiv w:val="1"/>
      <w:marLeft w:val="0"/>
      <w:marRight w:val="0"/>
      <w:marTop w:val="0"/>
      <w:marBottom w:val="0"/>
      <w:divBdr>
        <w:top w:val="none" w:sz="0" w:space="0" w:color="auto"/>
        <w:left w:val="none" w:sz="0" w:space="0" w:color="auto"/>
        <w:bottom w:val="none" w:sz="0" w:space="0" w:color="auto"/>
        <w:right w:val="none" w:sz="0" w:space="0" w:color="auto"/>
      </w:divBdr>
    </w:div>
    <w:div w:id="1743746846">
      <w:bodyDiv w:val="1"/>
      <w:marLeft w:val="0"/>
      <w:marRight w:val="0"/>
      <w:marTop w:val="0"/>
      <w:marBottom w:val="0"/>
      <w:divBdr>
        <w:top w:val="none" w:sz="0" w:space="0" w:color="auto"/>
        <w:left w:val="none" w:sz="0" w:space="0" w:color="auto"/>
        <w:bottom w:val="none" w:sz="0" w:space="0" w:color="auto"/>
        <w:right w:val="none" w:sz="0" w:space="0" w:color="auto"/>
      </w:divBdr>
    </w:div>
    <w:div w:id="2006593686">
      <w:bodyDiv w:val="1"/>
      <w:marLeft w:val="0"/>
      <w:marRight w:val="0"/>
      <w:marTop w:val="0"/>
      <w:marBottom w:val="0"/>
      <w:divBdr>
        <w:top w:val="none" w:sz="0" w:space="0" w:color="auto"/>
        <w:left w:val="none" w:sz="0" w:space="0" w:color="auto"/>
        <w:bottom w:val="none" w:sz="0" w:space="0" w:color="auto"/>
        <w:right w:val="none" w:sz="0" w:space="0" w:color="auto"/>
      </w:divBdr>
    </w:div>
    <w:div w:id="2070417382">
      <w:bodyDiv w:val="1"/>
      <w:marLeft w:val="0"/>
      <w:marRight w:val="0"/>
      <w:marTop w:val="0"/>
      <w:marBottom w:val="0"/>
      <w:divBdr>
        <w:top w:val="none" w:sz="0" w:space="0" w:color="auto"/>
        <w:left w:val="none" w:sz="0" w:space="0" w:color="auto"/>
        <w:bottom w:val="none" w:sz="0" w:space="0" w:color="auto"/>
        <w:right w:val="none" w:sz="0" w:space="0" w:color="auto"/>
      </w:divBdr>
    </w:div>
    <w:div w:id="2146924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B1937-712F-46FC-9776-179D46E9E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12432</TotalTime>
  <Pages>5</Pages>
  <Words>1858</Words>
  <Characters>10593</Characters>
  <Application>Microsoft Office Word</Application>
  <DocSecurity>0</DocSecurity>
  <Lines>88</Lines>
  <Paragraphs>24</Paragraphs>
  <ScaleCrop>false</ScaleCrop>
  <Company/>
  <LinksUpToDate>false</LinksUpToDate>
  <CharactersWithSpaces>12427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liuzhengyang</dc:creator>
  <cp:keywords/>
  <dc:description/>
  <cp:lastModifiedBy>liuzhengyang</cp:lastModifiedBy>
  <cp:revision>75</cp:revision>
  <dcterms:created xsi:type="dcterms:W3CDTF">2023-11-03T06:13:00Z</dcterms:created>
  <dcterms:modified xsi:type="dcterms:W3CDTF">2025-02-07T13:56:00Z</dcterms:modified>
</cp:coreProperties>
</file>